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398" w:rsidRDefault="00975398">
      <w:pPr>
        <w:pStyle w:val="a3"/>
        <w:jc w:val="center"/>
      </w:pPr>
    </w:p>
    <w:p w:rsidR="00975398" w:rsidRDefault="009F7369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ДЕРЖАВНА ПОДАТКОВА СЛУЖБА УКРАЇНИ</w:t>
      </w:r>
    </w:p>
    <w:p w:rsidR="00975398" w:rsidRDefault="009F7369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ЛИСТ</w:t>
      </w:r>
    </w:p>
    <w:p w:rsidR="00975398" w:rsidRDefault="009F7369">
      <w:pPr>
        <w:pStyle w:val="a3"/>
        <w:jc w:val="center"/>
      </w:pPr>
      <w:r>
        <w:rPr>
          <w:b/>
          <w:bCs/>
        </w:rPr>
        <w:t>від 21.02.2013 р. N 2704/6/15-1415-13</w:t>
      </w:r>
    </w:p>
    <w:p w:rsidR="00975398" w:rsidRDefault="009F7369">
      <w:pPr>
        <w:pStyle w:val="a3"/>
        <w:jc w:val="both"/>
      </w:pPr>
      <w:r>
        <w:t>Державна податкова служба України розглянула лист стосовно оподаткування акцизним податком операцій з відчуження цінних паперів і операцій з деривативами та повідомляє.</w:t>
      </w:r>
    </w:p>
    <w:p w:rsidR="00975398" w:rsidRDefault="009F7369">
      <w:pPr>
        <w:pStyle w:val="a3"/>
        <w:jc w:val="both"/>
      </w:pPr>
      <w:r>
        <w:t xml:space="preserve">Відповідно до </w:t>
      </w:r>
      <w:r>
        <w:rPr>
          <w:color w:val="0000FF"/>
        </w:rPr>
        <w:t>п. 137.1 ст. 137 Податкового кодексу України</w:t>
      </w:r>
      <w:r>
        <w:t xml:space="preserve"> (далі - Кодекс) дохід від реалізації товарів визнається за датою переходу покупцеві права власності на товар.</w:t>
      </w:r>
    </w:p>
    <w:p w:rsidR="00975398" w:rsidRDefault="009F7369">
      <w:pPr>
        <w:pStyle w:val="a3"/>
        <w:jc w:val="both"/>
      </w:pPr>
      <w:r>
        <w:t xml:space="preserve">У зв'язку з набрання чинності з 03.01.2013 р. </w:t>
      </w:r>
      <w:r>
        <w:rPr>
          <w:color w:val="0000FF"/>
        </w:rPr>
        <w:t>Законом України від 06.12.2012 р. N 5519-VI "Про внесення змін до Податкового кодексу України щодо подальшого удосконалення адміністрування податків і зборів"</w:t>
      </w:r>
      <w:r>
        <w:t xml:space="preserve"> (далі - Закон) згідно з </w:t>
      </w:r>
      <w:r>
        <w:rPr>
          <w:color w:val="0000FF"/>
        </w:rPr>
        <w:t>пп. 213.1.7 п. 213.1 ст. 213 Кодексу</w:t>
      </w:r>
      <w:r>
        <w:t xml:space="preserve"> об'єктами оподаткування особливим податком є операції з продажу, обміну або інших способів відчуження цінних паперів, де відбувається перехід права власності на цінні папери, та операції з деривативами, крім операцій, що здійснюються на міжбанківському ринку деривативів.</w:t>
      </w:r>
    </w:p>
    <w:p w:rsidR="00975398" w:rsidRDefault="009F7369">
      <w:pPr>
        <w:pStyle w:val="a3"/>
        <w:jc w:val="both"/>
      </w:pPr>
      <w:r>
        <w:t xml:space="preserve">Згідно з </w:t>
      </w:r>
      <w:r>
        <w:rPr>
          <w:color w:val="0000FF"/>
        </w:rPr>
        <w:t>пп. 14.1.31 п. 14.1 ст. 14 Кодексу</w:t>
      </w:r>
      <w:r>
        <w:t xml:space="preserve"> відчуження майна - це будь-які дії платника податків, унаслідок вчинення яких такий платник податків у порядку, передбаченому законом, втрачає право власності на майно, що належить такому платникові податків, або право користування, зокрема, природними ресурсами, що у визначеному законодавством порядку надані йому в користування.</w:t>
      </w:r>
    </w:p>
    <w:p w:rsidR="00975398" w:rsidRDefault="009F7369">
      <w:pPr>
        <w:pStyle w:val="a3"/>
        <w:jc w:val="both"/>
      </w:pPr>
      <w:r>
        <w:t xml:space="preserve">Отже, </w:t>
      </w:r>
      <w:r>
        <w:rPr>
          <w:b/>
          <w:bCs/>
          <w:i/>
          <w:iCs/>
        </w:rPr>
        <w:t>операції з цінними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паперами, де перехід права власності відбувся до набрання </w:t>
      </w:r>
      <w:r>
        <w:rPr>
          <w:b/>
          <w:bCs/>
          <w:i/>
          <w:iCs/>
          <w:color w:val="0000FF"/>
        </w:rPr>
        <w:t>Законом</w:t>
      </w:r>
      <w:r>
        <w:rPr>
          <w:b/>
          <w:bCs/>
          <w:i/>
          <w:iCs/>
        </w:rPr>
        <w:t xml:space="preserve"> чинності, не підлягають оподаткуванню акцизним податком</w:t>
      </w:r>
      <w:r>
        <w:t>.</w:t>
      </w:r>
    </w:p>
    <w:p w:rsidR="00975398" w:rsidRDefault="009F7369">
      <w:pPr>
        <w:pStyle w:val="a3"/>
        <w:jc w:val="both"/>
      </w:pPr>
      <w:r>
        <w:t xml:space="preserve">Зобов'язання зі сплати акцизного податку за операціями з відчуження цінних паперів виникатимуть у разі переходу права власності на них після набрання </w:t>
      </w:r>
      <w:r>
        <w:rPr>
          <w:color w:val="0000FF"/>
        </w:rPr>
        <w:t>Законом</w:t>
      </w:r>
      <w:r>
        <w:t xml:space="preserve"> чинності.</w:t>
      </w:r>
    </w:p>
    <w:p w:rsidR="00975398" w:rsidRDefault="009F7369">
      <w:pPr>
        <w:pStyle w:val="a3"/>
        <w:jc w:val="both"/>
      </w:pPr>
      <w:r>
        <w:t xml:space="preserve">У свою чергу, відповідно до </w:t>
      </w:r>
      <w:r>
        <w:rPr>
          <w:color w:val="0000FF"/>
        </w:rPr>
        <w:t>пп. 213.2.3 п. 213.2 ст. 213 Кодексу</w:t>
      </w:r>
      <w:r>
        <w:t xml:space="preserve"> </w:t>
      </w:r>
      <w:r>
        <w:rPr>
          <w:b/>
          <w:bCs/>
          <w:i/>
          <w:iCs/>
        </w:rPr>
        <w:t>не підлягають оподаткуванню операції з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інвестиційними сертифікатами, незалежно від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>виду таких операцій</w:t>
      </w:r>
      <w:r>
        <w:t>.</w:t>
      </w:r>
    </w:p>
    <w:p w:rsidR="00975398" w:rsidRDefault="009F7369">
      <w:pPr>
        <w:pStyle w:val="a3"/>
        <w:jc w:val="both"/>
      </w:pPr>
      <w:r>
        <w:t>Щодо оподаткування операцій з векселями слід зазначити таке.</w:t>
      </w:r>
    </w:p>
    <w:p w:rsidR="00975398" w:rsidRDefault="009F7369">
      <w:pPr>
        <w:pStyle w:val="a3"/>
        <w:jc w:val="both"/>
      </w:pPr>
      <w:r>
        <w:t xml:space="preserve">Відповідно до п. 3.7 Положення про порядок здійснення банками операцій з векселями в національній валюті на території України (далі - Положення), затвердженого </w:t>
      </w:r>
      <w:r>
        <w:rPr>
          <w:color w:val="0000FF"/>
        </w:rPr>
        <w:t>постановою Правління Національного банку України від 16.12.2002 р. N 508</w:t>
      </w:r>
      <w:r>
        <w:t>, зареєстрованою в Міністерстві юстиції України 28.02.2003 р. за N 174/7495, незалежно від того, чи переходить право власності на векселі банку, приймання та передавання векселів здійснюються банком на підставі відповідних первинних документів, що мають містити реєстр (опис) векселів.</w:t>
      </w:r>
    </w:p>
    <w:p w:rsidR="00975398" w:rsidRDefault="009F7369">
      <w:pPr>
        <w:pStyle w:val="a3"/>
        <w:jc w:val="both"/>
      </w:pPr>
      <w:r>
        <w:t>Якщо банк прийняв рішення про здійснення операцій з поданими векселями, то після оформлення відповідних первинних документів реєстрація руху векселів здійснюється у відповідному обліковому регістрі (</w:t>
      </w:r>
      <w:r>
        <w:rPr>
          <w:color w:val="0000FF"/>
        </w:rPr>
        <w:t>п. 3.9 Положення</w:t>
      </w:r>
      <w:r>
        <w:t>).</w:t>
      </w:r>
    </w:p>
    <w:p w:rsidR="00975398" w:rsidRDefault="009F7369">
      <w:pPr>
        <w:pStyle w:val="a3"/>
        <w:jc w:val="both"/>
      </w:pPr>
      <w:r>
        <w:t>Урахування векселів є формою кредитування банком юридичної або фізичної особи шляхом придбання векселя до настання строку платежу за ним зі знижкою (дисконтом) за грошові кошти з метою одержання прибутку від погашення векселя в повній сумі (</w:t>
      </w:r>
      <w:r>
        <w:rPr>
          <w:color w:val="0000FF"/>
        </w:rPr>
        <w:t>п. 6.1 Положення</w:t>
      </w:r>
      <w:r>
        <w:t>).</w:t>
      </w:r>
    </w:p>
    <w:p w:rsidR="00975398" w:rsidRDefault="009F7369">
      <w:pPr>
        <w:pStyle w:val="a3"/>
        <w:jc w:val="both"/>
      </w:pPr>
      <w:r>
        <w:lastRenderedPageBreak/>
        <w:t xml:space="preserve">Згідно з </w:t>
      </w:r>
      <w:r>
        <w:rPr>
          <w:color w:val="0000FF"/>
        </w:rPr>
        <w:t>п. 214.8 ст. 214 Кодексу</w:t>
      </w:r>
      <w:r>
        <w:t xml:space="preserve"> базою оподаткування особливим податком на операції з відчуження цінних паперів та операцій з деривативами</w:t>
      </w:r>
      <w:r>
        <w:rPr>
          <w:b/>
          <w:bCs/>
        </w:rPr>
        <w:t xml:space="preserve"> </w:t>
      </w:r>
      <w:r>
        <w:t>є договірна вартість цінних паперів або деривативів, визначена у первинних бухгалтерських документах за будь-якою операцією з продажу, обміну або інших способів їх відчуження.</w:t>
      </w:r>
    </w:p>
    <w:p w:rsidR="00975398" w:rsidRDefault="009F7369">
      <w:pPr>
        <w:pStyle w:val="a3"/>
        <w:jc w:val="both"/>
      </w:pPr>
      <w:r>
        <w:t>Акцизний податок справляється в розмірі 1,5 відсотка від суми операції з продажу цінних паперів поза фондовою біржею, що не перебувають у біржовому реєстрі (</w:t>
      </w:r>
      <w:r>
        <w:rPr>
          <w:color w:val="0000FF"/>
        </w:rPr>
        <w:t>пп. 215</w:t>
      </w:r>
      <w:r>
        <w:rPr>
          <w:color w:val="0000FF"/>
          <w:vertAlign w:val="superscript"/>
        </w:rPr>
        <w:t>1</w:t>
      </w:r>
      <w:r>
        <w:rPr>
          <w:color w:val="0000FF"/>
        </w:rPr>
        <w:t>.1.4 п. 215.</w:t>
      </w:r>
      <w:r>
        <w:rPr>
          <w:color w:val="0000FF"/>
          <w:vertAlign w:val="superscript"/>
        </w:rPr>
        <w:t>1</w:t>
      </w:r>
      <w:r>
        <w:rPr>
          <w:color w:val="0000FF"/>
        </w:rPr>
        <w:t>1 ст. 215</w:t>
      </w:r>
      <w:r>
        <w:rPr>
          <w:color w:val="0000FF"/>
          <w:vertAlign w:val="superscript"/>
        </w:rPr>
        <w:t>1</w:t>
      </w:r>
      <w:r>
        <w:rPr>
          <w:color w:val="0000FF"/>
        </w:rPr>
        <w:t xml:space="preserve"> Кодексу</w:t>
      </w:r>
      <w:r>
        <w:t>).</w:t>
      </w:r>
    </w:p>
    <w:p w:rsidR="00975398" w:rsidRDefault="009F7369">
      <w:pPr>
        <w:pStyle w:val="a3"/>
        <w:jc w:val="both"/>
      </w:pPr>
      <w:r>
        <w:t>Отже,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>при переході банку права власності на вексель пред'явник такого векселя є платником акцизного податку за ставкою 1,5 відсотка від суми договірної вартості такого векселя</w:t>
      </w:r>
      <w:r>
        <w:t>.</w:t>
      </w:r>
    </w:p>
    <w:p w:rsidR="00975398" w:rsidRDefault="009F7369">
      <w:pPr>
        <w:pStyle w:val="a3"/>
        <w:jc w:val="both"/>
      </w:pPr>
      <w:r>
        <w:rPr>
          <w:b/>
          <w:bCs/>
          <w:i/>
          <w:iCs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3"/>
        <w:gridCol w:w="4894"/>
      </w:tblGrid>
      <w:tr w:rsidR="00975398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975398" w:rsidRDefault="009F7369">
            <w:pPr>
              <w:pStyle w:val="a3"/>
              <w:jc w:val="center"/>
            </w:pPr>
            <w:r>
              <w:rPr>
                <w:b/>
                <w:bCs/>
              </w:rPr>
              <w:t>Заступник Голови</w:t>
            </w:r>
          </w:p>
        </w:tc>
        <w:tc>
          <w:tcPr>
            <w:tcW w:w="2500" w:type="pct"/>
            <w:vAlign w:val="bottom"/>
            <w:hideMark/>
          </w:tcPr>
          <w:p w:rsidR="00975398" w:rsidRDefault="009F7369">
            <w:pPr>
              <w:pStyle w:val="a3"/>
              <w:jc w:val="center"/>
            </w:pPr>
            <w:r>
              <w:rPr>
                <w:b/>
                <w:bCs/>
              </w:rPr>
              <w:t>А. Ігнатов</w:t>
            </w:r>
          </w:p>
        </w:tc>
      </w:tr>
    </w:tbl>
    <w:p w:rsidR="00975398" w:rsidRDefault="009F7369">
      <w:pPr>
        <w:pStyle w:val="a3"/>
        <w:jc w:val="both"/>
      </w:pPr>
      <w:r>
        <w:br w:type="textWrapping" w:clear="all"/>
      </w:r>
    </w:p>
    <w:p w:rsidR="00975398" w:rsidRDefault="009F7369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4"/>
        <w:gridCol w:w="1185"/>
      </w:tblGrid>
      <w:tr w:rsidR="00975398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975398" w:rsidRDefault="009F73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Інформаційно-аналітичний центр «ЛІГА», 1991 - 2013</w:t>
            </w:r>
            <w:r>
              <w:rPr>
                <w:rFonts w:eastAsia="Times New Roman"/>
              </w:rPr>
              <w:br/>
              <w:t xml:space="preserve">© ТОВ «ЛІГА:ЗАКОН», 2007 </w:t>
            </w:r>
            <w:r w:rsidR="00685800">
              <w:rPr>
                <w:rFonts w:eastAsia="Times New Roman"/>
              </w:rPr>
              <w:t>–</w:t>
            </w:r>
            <w:r>
              <w:rPr>
                <w:rFonts w:eastAsia="Times New Roman"/>
              </w:rPr>
              <w:t xml:space="preserve"> 2013</w:t>
            </w:r>
          </w:p>
        </w:tc>
        <w:tc>
          <w:tcPr>
            <w:tcW w:w="500" w:type="pct"/>
            <w:vAlign w:val="center"/>
            <w:hideMark/>
          </w:tcPr>
          <w:p w:rsidR="00975398" w:rsidRDefault="009F7369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d:\profiles\o.kyi\Application Data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rofiles\o.kyi\Application Data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7369" w:rsidRDefault="009F7369">
      <w:pPr>
        <w:rPr>
          <w:rFonts w:eastAsia="Times New Roman"/>
        </w:rPr>
      </w:pPr>
      <w:bookmarkStart w:id="0" w:name="_GoBack"/>
      <w:bookmarkEnd w:id="0"/>
    </w:p>
    <w:sectPr w:rsidR="009F73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C18A4"/>
    <w:rsid w:val="00092E21"/>
    <w:rsid w:val="005C18A4"/>
    <w:rsid w:val="00685800"/>
    <w:rsid w:val="00975398"/>
    <w:rsid w:val="009F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C18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8A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C18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18A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profiles\o.kyi\Application%20Data\Liga70\Client\Session\LOGOTYPE.BM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2349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 Алексей</dc:creator>
  <cp:lastModifiedBy>s.moskvin</cp:lastModifiedBy>
  <cp:revision>3</cp:revision>
  <dcterms:created xsi:type="dcterms:W3CDTF">2013-05-07T13:27:00Z</dcterms:created>
  <dcterms:modified xsi:type="dcterms:W3CDTF">2013-05-07T13:54:00Z</dcterms:modified>
</cp:coreProperties>
</file>