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7544">
      <w:pPr>
        <w:pStyle w:val="a3"/>
        <w:jc w:val="center"/>
        <w:rPr>
          <w:sz w:val="27"/>
          <w:szCs w:val="27"/>
        </w:rPr>
      </w:pPr>
      <w:r>
        <w:rPr>
          <w:b/>
          <w:bCs/>
          <w:sz w:val="27"/>
          <w:szCs w:val="27"/>
        </w:rPr>
        <w:t>МІНІСТЕРСТВО ДОХОДІВ І ЗБОРІВ УКРАЇНИ</w:t>
      </w:r>
    </w:p>
    <w:p w:rsidR="00000000" w:rsidRDefault="00457544">
      <w:pPr>
        <w:pStyle w:val="a3"/>
        <w:jc w:val="center"/>
        <w:rPr>
          <w:sz w:val="36"/>
          <w:szCs w:val="36"/>
        </w:rPr>
      </w:pPr>
      <w:r>
        <w:rPr>
          <w:b/>
          <w:bCs/>
          <w:sz w:val="36"/>
          <w:szCs w:val="36"/>
        </w:rPr>
        <w:t>ЗАГАЛЬНОДОСТУПНИЙ ІНФОРМАЦІЙНО-ДОВІДКОВИЙ РЕСУРС "ЗІР"</w:t>
      </w:r>
    </w:p>
    <w:p w:rsidR="00000000" w:rsidRDefault="00457544">
      <w:pPr>
        <w:pStyle w:val="a3"/>
        <w:jc w:val="center"/>
        <w:rPr>
          <w:sz w:val="27"/>
          <w:szCs w:val="27"/>
        </w:rPr>
      </w:pPr>
      <w:r>
        <w:rPr>
          <w:b/>
          <w:bCs/>
          <w:sz w:val="27"/>
          <w:szCs w:val="27"/>
        </w:rPr>
        <w:t>ЗАПИТАННЯ-ВІДПОВІДІ</w:t>
      </w:r>
    </w:p>
    <w:p w:rsidR="00000000" w:rsidRDefault="00457544">
      <w:pPr>
        <w:pStyle w:val="2"/>
        <w:jc w:val="both"/>
        <w:rPr>
          <w:rFonts w:eastAsia="Times New Roman"/>
        </w:rPr>
      </w:pPr>
      <w:r>
        <w:rPr>
          <w:rFonts w:eastAsia="Times New Roman"/>
        </w:rPr>
        <w:t>Питання:</w:t>
      </w:r>
    </w:p>
    <w:p w:rsidR="00000000" w:rsidRDefault="00457544">
      <w:pPr>
        <w:pStyle w:val="a3"/>
        <w:jc w:val="both"/>
      </w:pPr>
      <w:r>
        <w:t>Чи має право платник податку при продажу цінних паперів (корпоративних прав) врахувати витрати на їх придбання, якщо витрати на придбання таких цінних паперів були вилучені зі складу від'ємного значення фінансового результату за операціями з цінними папера</w:t>
      </w:r>
      <w:r>
        <w:t xml:space="preserve">ми станом на 01.01.2013 на підставі </w:t>
      </w:r>
      <w:r>
        <w:rPr>
          <w:color w:val="0000FF"/>
        </w:rPr>
        <w:t>наказу ДПС України від 21.12.2012 N 1160</w:t>
      </w:r>
      <w:r>
        <w:t>?</w:t>
      </w:r>
    </w:p>
    <w:p w:rsidR="00000000" w:rsidRDefault="00457544">
      <w:pPr>
        <w:pStyle w:val="2"/>
        <w:jc w:val="both"/>
        <w:rPr>
          <w:rFonts w:eastAsia="Times New Roman"/>
        </w:rPr>
      </w:pPr>
      <w:r>
        <w:rPr>
          <w:rFonts w:eastAsia="Times New Roman"/>
        </w:rPr>
        <w:t>Відповідь:</w:t>
      </w:r>
    </w:p>
    <w:p w:rsidR="00000000" w:rsidRDefault="00457544">
      <w:pPr>
        <w:pStyle w:val="a3"/>
        <w:jc w:val="both"/>
      </w:pPr>
      <w:r>
        <w:t xml:space="preserve">Відповідно до </w:t>
      </w:r>
      <w:r>
        <w:rPr>
          <w:color w:val="0000FF"/>
        </w:rPr>
        <w:t>пп. 153.8.1 п. 153.8 ст. 153 Податкового кодексу України від 02 грудня 2010 року N 2755-VI</w:t>
      </w:r>
      <w:r>
        <w:t>, зі змінами та доповненнями (далі - ПКУ), облік загального фін</w:t>
      </w:r>
      <w:r>
        <w:t>ансового результату (прибутку/збитку) за операціями з торгівлі цінними паперами ведеться платником податку окремо від інших доходів і витрат.</w:t>
      </w:r>
    </w:p>
    <w:p w:rsidR="00000000" w:rsidRDefault="00457544">
      <w:pPr>
        <w:pStyle w:val="a3"/>
        <w:jc w:val="both"/>
      </w:pPr>
      <w:r>
        <w:t>Платник податку визначає фінансовий результат за операціями з цінними паперами, що перебувають в обігу на фондовій</w:t>
      </w:r>
      <w:r>
        <w:t xml:space="preserve"> біржі, окремо від фінансового результату за операціями з цінними паперами, що не перебувають в обігу на фондовій біржі.</w:t>
      </w:r>
    </w:p>
    <w:p w:rsidR="00000000" w:rsidRDefault="00457544">
      <w:pPr>
        <w:pStyle w:val="a3"/>
        <w:jc w:val="both"/>
      </w:pPr>
      <w:r>
        <w:t>Платники податку визначають фінансовий результат за операціями з цінними паперами відповідно до положень (стандартів) бухгалтерського о</w:t>
      </w:r>
      <w:r>
        <w:t>бліку шляхом зменшення прибутків за операціями з цінними паперами на суму збитків від операцій з іншими цінними паперами протягом такого звітного періоду.</w:t>
      </w:r>
    </w:p>
    <w:p w:rsidR="00000000" w:rsidRDefault="00457544">
      <w:pPr>
        <w:pStyle w:val="a3"/>
        <w:jc w:val="both"/>
      </w:pPr>
      <w:r>
        <w:t>Фінансовий результат визначається за кожною окремою операцією з цінними паперами. Прибуток або збиток</w:t>
      </w:r>
      <w:r>
        <w:t xml:space="preserve"> від операцій з купівлі-продажу цінних паперів розраховується як позитивна або від'ємна різниця між доходом від відчуження цінних паперів та сумою витрат у зв'язку з придбанням таких цінних паперів. При цьому дохід платника податку від продажу, обміну або </w:t>
      </w:r>
      <w:r>
        <w:t>інших способів відчуження цінних паперів визнається на дату переходу покупцеві права власності на такі цінні папери. Витрати платника податку на користь продавця або емітента цінних паперів визнаються витратами того звітного періоду, в якому визнано доходи</w:t>
      </w:r>
      <w:r>
        <w:t xml:space="preserve"> від відчуження таких цінних паперів.</w:t>
      </w:r>
    </w:p>
    <w:p w:rsidR="00000000" w:rsidRDefault="00457544">
      <w:pPr>
        <w:pStyle w:val="a3"/>
        <w:jc w:val="both"/>
      </w:pPr>
      <w:r>
        <w:t xml:space="preserve">Згідно з </w:t>
      </w:r>
      <w:r>
        <w:rPr>
          <w:color w:val="0000FF"/>
        </w:rPr>
        <w:t>пп. 153.8.3 п. 153.8 ст. 153 ПКУ</w:t>
      </w:r>
      <w:r>
        <w:t xml:space="preserve"> якщо за результатами звітного періоду загальна сума збитків від операцій з цінними паперами, що перебувають в обігу на фондовій біржі, перевищує загальну суму прибутків від так</w:t>
      </w:r>
      <w:r>
        <w:t>их операцій, то сума від'ємного значення фінансового результату за операціями з цінними паперами, що перебувають в обігу на фондовій біржі, переноситься у зменшення загального фінансового результату за такими операціями в наступних звітних періодах до повн</w:t>
      </w:r>
      <w:r>
        <w:t>ого погашення.</w:t>
      </w:r>
    </w:p>
    <w:p w:rsidR="00000000" w:rsidRDefault="00457544">
      <w:pPr>
        <w:pStyle w:val="a3"/>
        <w:jc w:val="both"/>
      </w:pPr>
      <w:r>
        <w:t>Якщо за результатами звітного періоду загальна сума збитків від операцій з цінними паперами, що не перебувають в обігу на фондовій біржі, перевищує загальну суму прибутків від таких операцій, то сума від'ємного значення фінансового результат</w:t>
      </w:r>
      <w:r>
        <w:t xml:space="preserve">у за операціями з цінними паперами, що не перебувають в обігу на фондовій біржі, </w:t>
      </w:r>
      <w:r>
        <w:lastRenderedPageBreak/>
        <w:t>переноситься у зменшення загального фінансового результату за такими операціями в наступних звітних періодах протягом 1095 днів, наступних за звітним періодом виникнення зазна</w:t>
      </w:r>
      <w:r>
        <w:t>ченого від'ємного значення фінансового результату.</w:t>
      </w:r>
    </w:p>
    <w:p w:rsidR="00000000" w:rsidRDefault="00457544">
      <w:pPr>
        <w:pStyle w:val="a3"/>
        <w:jc w:val="both"/>
      </w:pPr>
      <w:r>
        <w:t xml:space="preserve">Разом з цим, нормами </w:t>
      </w:r>
      <w:r>
        <w:rPr>
          <w:color w:val="0000FF"/>
        </w:rPr>
        <w:t>п. 31 підр. 4 Розділу XX ПКУ</w:t>
      </w:r>
      <w:r>
        <w:t xml:space="preserve"> визначено, що від'ємний фінансовий результат за операціями з цінними паперами, деривативами, корпоративними правами, випущеними в іншій, ніж цінні папери, </w:t>
      </w:r>
      <w:r>
        <w:t>формі, сформований станом на 1 січня 2013 року, не враховується при визначенні фінансового результату за операціями з цінними паперами, деривативами, корпоративними правами, випущеними в іншій, ніж цінні папери, формі, в наступних звітних податкових період</w:t>
      </w:r>
      <w:r>
        <w:t>ах.</w:t>
      </w:r>
    </w:p>
    <w:p w:rsidR="00000000" w:rsidRDefault="00457544">
      <w:pPr>
        <w:pStyle w:val="a3"/>
        <w:jc w:val="both"/>
      </w:pPr>
      <w:r>
        <w:t xml:space="preserve">При визначенні прибутків/збитків у порядку, визначеному </w:t>
      </w:r>
      <w:r>
        <w:rPr>
          <w:color w:val="0000FF"/>
        </w:rPr>
        <w:t>п. 153.8</w:t>
      </w:r>
      <w:r>
        <w:t xml:space="preserve"> і </w:t>
      </w:r>
      <w:r>
        <w:rPr>
          <w:color w:val="0000FF"/>
        </w:rPr>
        <w:t>153.9 ст. 153 ПКУ</w:t>
      </w:r>
      <w:r>
        <w:t>, витрати, понесені (нараховані) платниками податків при придбанні цінних паперів, деривативів, корпоративних прав, випущених в іншій, ніж цінні папери, формі до 1 січн</w:t>
      </w:r>
      <w:r>
        <w:t>я 2013 року, враховуються при їх подальшому відчуженні в повному обсязі на підставі первинних документів, що підтверджують здійснення витрат.</w:t>
      </w:r>
    </w:p>
    <w:p w:rsidR="00000000" w:rsidRDefault="00457544">
      <w:pPr>
        <w:pStyle w:val="a3"/>
        <w:jc w:val="both"/>
      </w:pPr>
      <w:r>
        <w:t xml:space="preserve">При цьому віднесення різниці між витратами, визначеними в абз. другому </w:t>
      </w:r>
      <w:r>
        <w:rPr>
          <w:color w:val="0000FF"/>
        </w:rPr>
        <w:t>п. 31 підр. 4 Розділу XX ПКУ</w:t>
      </w:r>
      <w:r>
        <w:t>, та доходами (</w:t>
      </w:r>
      <w:r>
        <w:t xml:space="preserve">прибутками/збитками) за операціями з подальшого відчуження цінних паперів до прибутків/збитків, отриманих від операцій з цінними паперами, що перебувають або не перебувають в обігу на фондовій біржі, здійснюється залежно від того, чи визнавалися зазначені </w:t>
      </w:r>
      <w:r>
        <w:t xml:space="preserve">цінні папери в момент їх подальшого відчуження такими, що перебувають в обігу на фондовій біржі, відповідно до </w:t>
      </w:r>
      <w:r>
        <w:rPr>
          <w:color w:val="0000FF"/>
        </w:rPr>
        <w:t>пп. 153.8.2 п. 153.8 ст. 153 ПКУ</w:t>
      </w:r>
      <w:r>
        <w:t>.</w:t>
      </w:r>
    </w:p>
    <w:p w:rsidR="00000000" w:rsidRDefault="00457544">
      <w:pPr>
        <w:pStyle w:val="a3"/>
        <w:jc w:val="both"/>
      </w:pPr>
      <w:r>
        <w:t>Враховуючи викладене, у разі продажу (відчуження) цінних паперів (корпоративних прав), придбаних до 01.01.2013,</w:t>
      </w:r>
      <w:r>
        <w:t xml:space="preserve"> платник податку при визначенні в окремому фінансовому обліку прибутку/збитку від такої операції має право врахувати витрати (в тому числі, витрати, які були вилучені зі складу від'ємного значення фінансового результату за операціями з цінними паперами) на</w:t>
      </w:r>
      <w:r>
        <w:t xml:space="preserve"> придбання таких цінних паперів (корпоративних прав) в повному обсязі, за умови підтвердження зазначених витрат відповідними первинними документами.</w:t>
      </w:r>
    </w:p>
    <w:p w:rsidR="00000000" w:rsidRDefault="00457544">
      <w:pPr>
        <w:pStyle w:val="a3"/>
        <w:jc w:val="both"/>
      </w:pPr>
      <w:r>
        <w:t> </w:t>
      </w:r>
    </w:p>
    <w:p w:rsidR="00000000" w:rsidRDefault="00457544">
      <w:pPr>
        <w:pStyle w:val="a3"/>
        <w:jc w:val="right"/>
      </w:pPr>
      <w:r>
        <w:rPr>
          <w:b/>
          <w:bCs/>
          <w:i/>
          <w:iCs/>
        </w:rPr>
        <w:t>Інформаційно-довідковий департамент Міністерства доходів і зборів України</w:t>
      </w:r>
    </w:p>
    <w:p w:rsidR="00000000" w:rsidRDefault="00457544">
      <w:pPr>
        <w:pStyle w:val="a3"/>
        <w:jc w:val="right"/>
      </w:pPr>
      <w:r>
        <w:rPr>
          <w:i/>
          <w:iCs/>
        </w:rPr>
        <w:t>Відповіді на питання щодо опода</w:t>
      </w:r>
      <w:r>
        <w:rPr>
          <w:i/>
          <w:iCs/>
        </w:rPr>
        <w:t xml:space="preserve">ткування, </w:t>
      </w:r>
      <w:r>
        <w:br/>
      </w:r>
      <w:r>
        <w:rPr>
          <w:i/>
          <w:iCs/>
        </w:rPr>
        <w:t xml:space="preserve">митної справи та єдиного соціального внеску на </w:t>
      </w:r>
      <w:r>
        <w:br/>
      </w:r>
      <w:r>
        <w:rPr>
          <w:i/>
          <w:iCs/>
        </w:rPr>
        <w:t xml:space="preserve">загальнообов'язкове державне соціальне страхування </w:t>
      </w:r>
      <w:r>
        <w:br/>
      </w:r>
      <w:r>
        <w:rPr>
          <w:i/>
          <w:iCs/>
        </w:rPr>
        <w:t xml:space="preserve">можна отримати за телефоном 0-800-501-007 </w:t>
      </w:r>
      <w:r>
        <w:br/>
      </w:r>
      <w:r>
        <w:rPr>
          <w:i/>
          <w:iCs/>
        </w:rPr>
        <w:t>(безкоштовно зі стаціонарних телефонів)</w:t>
      </w:r>
    </w:p>
    <w:p w:rsidR="00000000" w:rsidRDefault="00457544">
      <w:pPr>
        <w:pStyle w:val="a3"/>
        <w:jc w:val="right"/>
      </w:pPr>
      <w:r>
        <w:t> </w:t>
      </w:r>
    </w:p>
    <w:p w:rsidR="00000000" w:rsidRDefault="00457544">
      <w:pPr>
        <w:pStyle w:val="a3"/>
        <w:jc w:val="right"/>
        <w:rPr>
          <w:color w:val="0000FF"/>
        </w:rPr>
      </w:pPr>
      <w:r>
        <w:rPr>
          <w:b/>
          <w:bCs/>
        </w:rPr>
        <w:t xml:space="preserve">Всеукраїнська мережа ЛІГА:ЗАКОН </w:t>
      </w:r>
      <w:r>
        <w:br/>
      </w:r>
      <w:hyperlink r:id="rId4" w:history="1">
        <w:r>
          <w:rPr>
            <w:rStyle w:val="a4"/>
            <w:b/>
            <w:bCs/>
          </w:rPr>
          <w:t>www.ligazakon.ua</w:t>
        </w:r>
      </w:hyperlink>
    </w:p>
    <w:p w:rsidR="00000000" w:rsidRDefault="00457544">
      <w:pPr>
        <w:pStyle w:val="a3"/>
        <w:jc w:val="center"/>
      </w:pPr>
      <w:r>
        <w:t> </w:t>
      </w:r>
    </w:p>
    <w:p w:rsidR="00000000" w:rsidRDefault="00457544">
      <w:pPr>
        <w:pStyle w:val="a3"/>
        <w:jc w:val="center"/>
      </w:pPr>
      <w:r>
        <w:t>____________</w:t>
      </w:r>
    </w:p>
    <w:p w:rsidR="00000000" w:rsidRDefault="00457544">
      <w:pPr>
        <w:pStyle w:val="a3"/>
        <w:jc w:val="center"/>
        <w:rPr>
          <w:sz w:val="20"/>
          <w:szCs w:val="20"/>
        </w:rPr>
      </w:pPr>
      <w:r>
        <w:rPr>
          <w:i/>
          <w:iCs/>
          <w:sz w:val="20"/>
          <w:szCs w:val="20"/>
        </w:rPr>
        <w:lastRenderedPageBreak/>
        <w:t xml:space="preserve">Матеріали ресурсу "ЗІР" представлені у системах ЛІГА:ЗАКОН </w:t>
      </w:r>
      <w:r>
        <w:rPr>
          <w:sz w:val="20"/>
          <w:szCs w:val="20"/>
        </w:rPr>
        <w:br/>
      </w:r>
      <w:r>
        <w:rPr>
          <w:i/>
          <w:iCs/>
          <w:sz w:val="20"/>
          <w:szCs w:val="20"/>
        </w:rPr>
        <w:t>за погодженням з Міністерством доходів і зборів України (zir.minrd.gov.ua)</w:t>
      </w:r>
    </w:p>
    <w:p w:rsidR="00000000" w:rsidRDefault="00457544">
      <w:pPr>
        <w:pStyle w:val="a3"/>
        <w:jc w:val="center"/>
        <w:rPr>
          <w:sz w:val="20"/>
          <w:szCs w:val="20"/>
        </w:rPr>
      </w:pPr>
      <w:r>
        <w:rPr>
          <w:i/>
          <w:iCs/>
          <w:sz w:val="20"/>
          <w:szCs w:val="20"/>
        </w:rPr>
        <w:t> </w:t>
      </w:r>
    </w:p>
    <w:p w:rsidR="00000000" w:rsidRDefault="00457544">
      <w:pPr>
        <w:pStyle w:val="a3"/>
        <w:jc w:val="center"/>
        <w:rPr>
          <w:sz w:val="20"/>
          <w:szCs w:val="20"/>
        </w:rPr>
      </w:pPr>
      <w:r>
        <w:rPr>
          <w:i/>
          <w:iCs/>
          <w:sz w:val="20"/>
          <w:szCs w:val="20"/>
        </w:rPr>
        <w:t>Матеріали, розміщені в системах інформаційно-правового забезпечен</w:t>
      </w:r>
      <w:r>
        <w:rPr>
          <w:i/>
          <w:iCs/>
          <w:sz w:val="20"/>
          <w:szCs w:val="20"/>
        </w:rPr>
        <w:t xml:space="preserve">ня ЛІГА:ЗАКОН, </w:t>
      </w:r>
      <w:r>
        <w:rPr>
          <w:sz w:val="20"/>
          <w:szCs w:val="20"/>
        </w:rPr>
        <w:br/>
      </w:r>
      <w:r>
        <w:rPr>
          <w:i/>
          <w:iCs/>
          <w:sz w:val="20"/>
          <w:szCs w:val="20"/>
        </w:rPr>
        <w:t>не можуть бути використані в будь-яких інших електронних базах або друкованих виданнях.</w:t>
      </w:r>
    </w:p>
    <w:p w:rsidR="00000000" w:rsidRDefault="00457544">
      <w:pPr>
        <w:pStyle w:val="a3"/>
        <w:jc w:val="center"/>
      </w:pPr>
      <w:r>
        <w:t> </w:t>
      </w:r>
    </w:p>
    <w:tbl>
      <w:tblPr>
        <w:tblW w:w="5000" w:type="pct"/>
        <w:jc w:val="center"/>
        <w:tblCellSpacing w:w="15" w:type="dxa"/>
        <w:tblCellMar>
          <w:top w:w="15" w:type="dxa"/>
          <w:left w:w="15" w:type="dxa"/>
          <w:bottom w:w="15" w:type="dxa"/>
          <w:right w:w="15" w:type="dxa"/>
        </w:tblCellMar>
        <w:tblLook w:val="04A0"/>
      </w:tblPr>
      <w:tblGrid>
        <w:gridCol w:w="8230"/>
        <w:gridCol w:w="1215"/>
      </w:tblGrid>
      <w:tr w:rsidR="00000000">
        <w:trPr>
          <w:tblCellSpacing w:w="15" w:type="dxa"/>
          <w:jc w:val="center"/>
        </w:trPr>
        <w:tc>
          <w:tcPr>
            <w:tcW w:w="4500" w:type="pct"/>
            <w:vAlign w:val="center"/>
            <w:hideMark/>
          </w:tcPr>
          <w:p w:rsidR="00000000" w:rsidRDefault="00457544">
            <w:pPr>
              <w:rPr>
                <w:rFonts w:eastAsia="Times New Roman"/>
              </w:rPr>
            </w:pPr>
            <w:r>
              <w:rPr>
                <w:rFonts w:eastAsia="Times New Roman"/>
              </w:rPr>
              <w:t>© ТОВ "Інформаційно-аналітичний центр "ЛІГА", 2014</w:t>
            </w:r>
            <w:r>
              <w:rPr>
                <w:rFonts w:eastAsia="Times New Roman"/>
              </w:rPr>
              <w:br/>
              <w:t>© ТОВ "ЛІГА ЗАКОН", 2014</w:t>
            </w:r>
          </w:p>
        </w:tc>
        <w:tc>
          <w:tcPr>
            <w:tcW w:w="500" w:type="pct"/>
            <w:vAlign w:val="center"/>
            <w:hideMark/>
          </w:tcPr>
          <w:p w:rsidR="00000000" w:rsidRDefault="00457544">
            <w:pPr>
              <w:rPr>
                <w:rFonts w:eastAsia="Times New Roman"/>
              </w:rPr>
            </w:pPr>
            <w:r>
              <w:rPr>
                <w:rFonts w:eastAsia="Times New Roman"/>
                <w:noProof/>
              </w:rPr>
              <w:drawing>
                <wp:inline distT="0" distB="0" distL="0" distR="0">
                  <wp:extent cx="695325" cy="314325"/>
                  <wp:effectExtent l="19050" t="0" r="9525" b="0"/>
                  <wp:docPr id="1" name="Рисунок 1" descr="C:\Users\s.moskvin\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skvin\AppData\Roaming\Liga70\Client\Session\LOGOTYPE.BMP"/>
                          <pic:cNvPicPr>
                            <a:picLocks noChangeAspect="1" noChangeArrowheads="1"/>
                          </pic:cNvPicPr>
                        </pic:nvPicPr>
                        <pic:blipFill>
                          <a:blip r:link="rId5" cstate="print"/>
                          <a:srcRect/>
                          <a:stretch>
                            <a:fillRect/>
                          </a:stretch>
                        </pic:blipFill>
                        <pic:spPr bwMode="auto">
                          <a:xfrm>
                            <a:off x="0" y="0"/>
                            <a:ext cx="695325" cy="314325"/>
                          </a:xfrm>
                          <a:prstGeom prst="rect">
                            <a:avLst/>
                          </a:prstGeom>
                          <a:noFill/>
                          <a:ln w="9525">
                            <a:noFill/>
                            <a:miter lim="800000"/>
                            <a:headEnd/>
                            <a:tailEnd/>
                          </a:ln>
                        </pic:spPr>
                      </pic:pic>
                    </a:graphicData>
                  </a:graphic>
                </wp:inline>
              </w:drawing>
            </w:r>
          </w:p>
        </w:tc>
      </w:tr>
    </w:tbl>
    <w:p w:rsidR="00457544" w:rsidRDefault="00457544">
      <w:pPr>
        <w:rPr>
          <w:rFonts w:eastAsia="Times New Roman"/>
        </w:rPr>
      </w:pPr>
    </w:p>
    <w:sectPr w:rsidR="004575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noPunctuationKerning/>
  <w:characterSpacingControl w:val="doNotCompress"/>
  <w:compat/>
  <w:rsids>
    <w:rsidRoot w:val="002927B2"/>
    <w:rsid w:val="00086204"/>
    <w:rsid w:val="002927B2"/>
    <w:rsid w:val="004575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Balloon Text"/>
    <w:basedOn w:val="a"/>
    <w:link w:val="a7"/>
    <w:uiPriority w:val="99"/>
    <w:semiHidden/>
    <w:unhideWhenUsed/>
    <w:rsid w:val="00086204"/>
    <w:rPr>
      <w:rFonts w:ascii="Tahoma" w:hAnsi="Tahoma" w:cs="Tahoma"/>
      <w:sz w:val="16"/>
      <w:szCs w:val="16"/>
    </w:rPr>
  </w:style>
  <w:style w:type="character" w:customStyle="1" w:styleId="a7">
    <w:name w:val="Текст выноски Знак"/>
    <w:basedOn w:val="a0"/>
    <w:link w:val="a6"/>
    <w:uiPriority w:val="99"/>
    <w:semiHidden/>
    <w:rsid w:val="0008620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s.moskvin\AppData\Roaming\Liga70\Client\Session\LOGOTYPE.BMP" TargetMode="External"/><Relationship Id="rId4" Type="http://schemas.openxmlformats.org/officeDocument/2006/relationships/hyperlink" Target="http://www.ligazakon.ua/?syst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s.moskvin</dc:creator>
  <cp:lastModifiedBy>s.moskvin</cp:lastModifiedBy>
  <cp:revision>2</cp:revision>
  <dcterms:created xsi:type="dcterms:W3CDTF">2014-06-03T11:05:00Z</dcterms:created>
  <dcterms:modified xsi:type="dcterms:W3CDTF">2014-06-03T11:05:00Z</dcterms:modified>
</cp:coreProperties>
</file>