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788C" w:rsidRDefault="000C11EF">
      <w:pPr>
        <w:pStyle w:val="a3"/>
        <w:jc w:val="center"/>
        <w:rPr>
          <w:sz w:val="27"/>
          <w:szCs w:val="27"/>
          <w:lang w:val="uk-UA"/>
        </w:rPr>
      </w:pPr>
      <w:r w:rsidRPr="0023788C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000000" w:rsidRPr="0023788C" w:rsidRDefault="000C11EF">
      <w:pPr>
        <w:pStyle w:val="a3"/>
        <w:jc w:val="center"/>
        <w:rPr>
          <w:sz w:val="36"/>
          <w:szCs w:val="36"/>
          <w:lang w:val="uk-UA"/>
        </w:rPr>
      </w:pPr>
      <w:r w:rsidRPr="0023788C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000000" w:rsidRPr="0023788C" w:rsidRDefault="000C11EF">
      <w:pPr>
        <w:pStyle w:val="a3"/>
        <w:jc w:val="center"/>
        <w:rPr>
          <w:sz w:val="27"/>
          <w:szCs w:val="27"/>
          <w:lang w:val="uk-UA"/>
        </w:rPr>
      </w:pPr>
      <w:r w:rsidRPr="0023788C">
        <w:rPr>
          <w:b/>
          <w:bCs/>
          <w:sz w:val="27"/>
          <w:szCs w:val="27"/>
          <w:lang w:val="uk-UA"/>
        </w:rPr>
        <w:t>ЗАПИТАННЯ-ВІДПОВІДІ</w:t>
      </w:r>
    </w:p>
    <w:p w:rsidR="00000000" w:rsidRPr="0023788C" w:rsidRDefault="000C11EF">
      <w:pPr>
        <w:pStyle w:val="2"/>
        <w:jc w:val="both"/>
        <w:rPr>
          <w:rFonts w:eastAsia="Times New Roman"/>
          <w:lang w:val="uk-UA"/>
        </w:rPr>
      </w:pPr>
      <w:r w:rsidRPr="0023788C">
        <w:rPr>
          <w:rFonts w:eastAsia="Times New Roman"/>
          <w:lang w:val="uk-UA"/>
        </w:rPr>
        <w:t>Питання: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 xml:space="preserve">З якого звітного (податкового) періоду платниками особливого податку на операції з відчуження цінних паперів та операцій з деривативами використовується декларація, форма якої затверджена </w:t>
      </w:r>
      <w:r w:rsidRPr="0023788C">
        <w:rPr>
          <w:color w:val="0000FF"/>
          <w:lang w:val="uk-UA"/>
        </w:rPr>
        <w:t>наказом Міндоходів від 19.07.2013 N 288</w:t>
      </w:r>
      <w:r w:rsidRPr="0023788C">
        <w:rPr>
          <w:lang w:val="uk-UA"/>
        </w:rPr>
        <w:t>?</w:t>
      </w:r>
    </w:p>
    <w:p w:rsidR="00000000" w:rsidRPr="0023788C" w:rsidRDefault="000C11EF">
      <w:pPr>
        <w:pStyle w:val="2"/>
        <w:jc w:val="both"/>
        <w:rPr>
          <w:rFonts w:eastAsia="Times New Roman"/>
          <w:lang w:val="uk-UA"/>
        </w:rPr>
      </w:pPr>
      <w:r w:rsidRPr="0023788C">
        <w:rPr>
          <w:rFonts w:eastAsia="Times New Roman"/>
          <w:lang w:val="uk-UA"/>
        </w:rPr>
        <w:t>Відповідь: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color w:val="0000FF"/>
          <w:lang w:val="uk-UA"/>
        </w:rPr>
        <w:t>Пунктом 49.2 ст.</w:t>
      </w:r>
      <w:r w:rsidRPr="0023788C">
        <w:rPr>
          <w:color w:val="0000FF"/>
          <w:lang w:val="uk-UA"/>
        </w:rPr>
        <w:t xml:space="preserve"> 49 Податкового кодексу України від 02 грудня 2010 року N 2755-VI</w:t>
      </w:r>
      <w:r w:rsidRPr="0023788C">
        <w:rPr>
          <w:lang w:val="uk-UA"/>
        </w:rPr>
        <w:t>, зі змінами та доповненнями (далі - ПКУ), передбачено, що платник податків зобов'язаний за кожний встановлений ПКУ звітний період подавати податкові декларації щодо кожного окремого податку,</w:t>
      </w:r>
      <w:r w:rsidRPr="0023788C">
        <w:rPr>
          <w:lang w:val="uk-UA"/>
        </w:rPr>
        <w:t xml:space="preserve"> платником якого він є, відповідно до ПКУ незалежно від того, чи провадив такий платник податку господарську діяльність у звітному періоді.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 xml:space="preserve">Відповідно до </w:t>
      </w:r>
      <w:r w:rsidRPr="0023788C">
        <w:rPr>
          <w:color w:val="0000FF"/>
          <w:lang w:val="uk-UA"/>
        </w:rPr>
        <w:t>п. 219.4 ст. 219 ПКУ</w:t>
      </w:r>
      <w:r w:rsidRPr="0023788C">
        <w:rPr>
          <w:lang w:val="uk-UA"/>
        </w:rPr>
        <w:t xml:space="preserve"> базовим податковим періодом для складання та подання звітності з особливого подат</w:t>
      </w:r>
      <w:r w:rsidRPr="0023788C">
        <w:rPr>
          <w:lang w:val="uk-UA"/>
        </w:rPr>
        <w:t xml:space="preserve">ку на операції з відчуження цінних паперів та операцій з деривативами є календарний квартал. Звітність подається за правилами, визначеними </w:t>
      </w:r>
      <w:r w:rsidRPr="0023788C">
        <w:rPr>
          <w:color w:val="0000FF"/>
          <w:lang w:val="uk-UA"/>
        </w:rPr>
        <w:t>ст. 46 ПКУ</w:t>
      </w:r>
      <w:r w:rsidRPr="0023788C">
        <w:rPr>
          <w:lang w:val="uk-UA"/>
        </w:rPr>
        <w:t>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 xml:space="preserve">Згідно з </w:t>
      </w:r>
      <w:r w:rsidRPr="0023788C">
        <w:rPr>
          <w:color w:val="0000FF"/>
          <w:lang w:val="uk-UA"/>
        </w:rPr>
        <w:t>п. 46.1 ст. 46 ПКУ</w:t>
      </w:r>
      <w:r w:rsidRPr="0023788C">
        <w:rPr>
          <w:lang w:val="uk-UA"/>
        </w:rPr>
        <w:t xml:space="preserve"> податковою декларацією (розрахунком) є документ, на підставі якого нараховуєт</w:t>
      </w:r>
      <w:r w:rsidRPr="0023788C">
        <w:rPr>
          <w:lang w:val="uk-UA"/>
        </w:rPr>
        <w:t>ься та (або) сплачується податкове зобов'язання, чи документ, що свідчить про суми доходу, нарахованого (виплаченого) на користь платників податків - фізичних осіб, суми утриманого та (або) сплаченого податку.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>Форма податкової декларації встановлюється цен</w:t>
      </w:r>
      <w:r w:rsidRPr="0023788C">
        <w:rPr>
          <w:lang w:val="uk-UA"/>
        </w:rPr>
        <w:t>тральним органом виконавчої влади, що забезпечує формування та реалізує державну податкову і митну політику (</w:t>
      </w:r>
      <w:r w:rsidRPr="0023788C">
        <w:rPr>
          <w:color w:val="0000FF"/>
          <w:lang w:val="uk-UA"/>
        </w:rPr>
        <w:t>п. 46.5 ст. 46 ПКУ</w:t>
      </w:r>
      <w:r w:rsidRPr="0023788C">
        <w:rPr>
          <w:lang w:val="uk-UA"/>
        </w:rPr>
        <w:t>).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color w:val="0000FF"/>
          <w:lang w:val="uk-UA"/>
        </w:rPr>
        <w:t>Пунктом 46.6 ст. 46 ПКУ</w:t>
      </w:r>
      <w:r w:rsidRPr="0023788C">
        <w:rPr>
          <w:lang w:val="uk-UA"/>
        </w:rPr>
        <w:t xml:space="preserve"> визначено, якщо в результаті запровадження нового податку або зміни правил оподаткування змінюються фо</w:t>
      </w:r>
      <w:r w:rsidRPr="0023788C">
        <w:rPr>
          <w:lang w:val="uk-UA"/>
        </w:rPr>
        <w:t>рми податкової звітності, центральний орган виконавчої влади, що забезпечує формування та реалізує, державну податкову і митну політику, який затвердив такі форми, зобов'язаний оприлюднити нові форми звітності.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>До визначення нових форм декларацій (розрахун</w:t>
      </w:r>
      <w:r w:rsidRPr="0023788C">
        <w:rPr>
          <w:lang w:val="uk-UA"/>
        </w:rPr>
        <w:t>ків), які набирають чинності для складання звітності за податковий період, що настає за податковим періодом, у якому відбулося їх оприлюднення, є чинними форми декларацій (розрахунків), чинні до такого визначення.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>Після внесення змін до нормативно-правових</w:t>
      </w:r>
      <w:r w:rsidRPr="0023788C">
        <w:rPr>
          <w:lang w:val="uk-UA"/>
        </w:rPr>
        <w:t xml:space="preserve"> актів з питань оподаткування центральний орган виконавчої влади, що забезпечує формування та реалізує державну податкову і митну політику, повинен здійснити заходи, пов'язані з оприлюдненням та застосуванням таких змін.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lastRenderedPageBreak/>
        <w:t>У зв'язку з відсутністю форм звітно</w:t>
      </w:r>
      <w:r w:rsidRPr="0023788C">
        <w:rPr>
          <w:lang w:val="uk-UA"/>
        </w:rPr>
        <w:t>сті Міндоходів було розроблено проект наказу "Про затвердження Декларації з особливого податку на операції з відчуження цінних паперів та операцій з деривативами, Порядку заповнення та подання Декларації з особливого податку на операції з відчуження цінних</w:t>
      </w:r>
      <w:r w:rsidRPr="0023788C">
        <w:rPr>
          <w:lang w:val="uk-UA"/>
        </w:rPr>
        <w:t xml:space="preserve"> паперів та операцій з деривативами" та запропоновано платникам, до затвердження відповідного наказу, використовувати форму декларації, приведену у цьому проекті.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color w:val="0000FF"/>
          <w:lang w:val="uk-UA"/>
        </w:rPr>
        <w:t>Наказом Міністерства доходів і зборів України від 19.07.2013 N 288</w:t>
      </w:r>
      <w:r w:rsidRPr="0023788C">
        <w:rPr>
          <w:lang w:val="uk-UA"/>
        </w:rPr>
        <w:t>, зареєстрованим в Міністер</w:t>
      </w:r>
      <w:r w:rsidRPr="0023788C">
        <w:rPr>
          <w:lang w:val="uk-UA"/>
        </w:rPr>
        <w:t>стві юстиції України 09.08.2013 за N 1372/23904, затверджено форми звітності з особливого податку на операції з відчуження цінних паперів та операцій з деривативами та порядок їх заповнення.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 xml:space="preserve">З огляду на зазначене, обов'язкове застосування форми декларації </w:t>
      </w:r>
      <w:r w:rsidRPr="0023788C">
        <w:rPr>
          <w:lang w:val="uk-UA"/>
        </w:rPr>
        <w:t xml:space="preserve">з особливого податку на операції з відчуження цінних паперів та операцій з деривативами, затвердженої </w:t>
      </w:r>
      <w:r w:rsidRPr="0023788C">
        <w:rPr>
          <w:color w:val="0000FF"/>
          <w:lang w:val="uk-UA"/>
        </w:rPr>
        <w:t>наказом Міністерства доходів і зборів України від 19.07.2013 N 288</w:t>
      </w:r>
      <w:r w:rsidRPr="0023788C">
        <w:rPr>
          <w:lang w:val="uk-UA"/>
        </w:rPr>
        <w:t>, запроваджується з IV кварталу 2013 року, при цьому, платники податку можуть використов</w:t>
      </w:r>
      <w:r w:rsidRPr="0023788C">
        <w:rPr>
          <w:lang w:val="uk-UA"/>
        </w:rPr>
        <w:t>увати нову форму декларації і при поданні звітності з особливого податку за III квартал 2013 року.</w:t>
      </w:r>
    </w:p>
    <w:p w:rsidR="00000000" w:rsidRPr="0023788C" w:rsidRDefault="000C11EF">
      <w:pPr>
        <w:pStyle w:val="a3"/>
        <w:jc w:val="both"/>
        <w:rPr>
          <w:lang w:val="uk-UA"/>
        </w:rPr>
      </w:pPr>
      <w:r w:rsidRPr="0023788C">
        <w:rPr>
          <w:lang w:val="uk-UA"/>
        </w:rPr>
        <w:t> </w:t>
      </w:r>
    </w:p>
    <w:p w:rsidR="00000000" w:rsidRPr="0023788C" w:rsidRDefault="000C11EF">
      <w:pPr>
        <w:pStyle w:val="a3"/>
        <w:jc w:val="right"/>
        <w:rPr>
          <w:lang w:val="uk-UA"/>
        </w:rPr>
      </w:pPr>
      <w:r w:rsidRPr="0023788C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000000" w:rsidRPr="0023788C" w:rsidRDefault="000C11EF">
      <w:pPr>
        <w:pStyle w:val="a3"/>
        <w:jc w:val="right"/>
        <w:rPr>
          <w:lang w:val="uk-UA"/>
        </w:rPr>
      </w:pPr>
      <w:r w:rsidRPr="0023788C">
        <w:rPr>
          <w:i/>
          <w:iCs/>
          <w:lang w:val="uk-UA"/>
        </w:rPr>
        <w:t xml:space="preserve">Відповіді на питання щодо оподаткування, </w:t>
      </w:r>
      <w:r w:rsidRPr="0023788C">
        <w:rPr>
          <w:lang w:val="uk-UA"/>
        </w:rPr>
        <w:br/>
      </w:r>
      <w:r w:rsidRPr="0023788C">
        <w:rPr>
          <w:i/>
          <w:iCs/>
          <w:lang w:val="uk-UA"/>
        </w:rPr>
        <w:t>митної справи та єдиного соціального вн</w:t>
      </w:r>
      <w:r w:rsidRPr="0023788C">
        <w:rPr>
          <w:i/>
          <w:iCs/>
          <w:lang w:val="uk-UA"/>
        </w:rPr>
        <w:t xml:space="preserve">еску на </w:t>
      </w:r>
      <w:r w:rsidRPr="0023788C">
        <w:rPr>
          <w:lang w:val="uk-UA"/>
        </w:rPr>
        <w:br/>
      </w:r>
      <w:r w:rsidRPr="0023788C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23788C">
        <w:rPr>
          <w:lang w:val="uk-UA"/>
        </w:rPr>
        <w:br/>
      </w:r>
      <w:r w:rsidRPr="0023788C">
        <w:rPr>
          <w:i/>
          <w:iCs/>
          <w:lang w:val="uk-UA"/>
        </w:rPr>
        <w:t xml:space="preserve">можна отримати за телефоном 0-800-501-007 </w:t>
      </w:r>
      <w:r w:rsidRPr="0023788C">
        <w:rPr>
          <w:lang w:val="uk-UA"/>
        </w:rPr>
        <w:br/>
      </w:r>
      <w:r w:rsidRPr="0023788C">
        <w:rPr>
          <w:i/>
          <w:iCs/>
          <w:lang w:val="uk-UA"/>
        </w:rPr>
        <w:t>(безкоштовно зі стаціонарних телефонів)</w:t>
      </w:r>
    </w:p>
    <w:p w:rsidR="00000000" w:rsidRPr="0023788C" w:rsidRDefault="000C11EF">
      <w:pPr>
        <w:pStyle w:val="a3"/>
        <w:jc w:val="right"/>
        <w:rPr>
          <w:lang w:val="uk-UA"/>
        </w:rPr>
      </w:pPr>
      <w:r w:rsidRPr="0023788C">
        <w:rPr>
          <w:lang w:val="uk-UA"/>
        </w:rPr>
        <w:t> </w:t>
      </w:r>
    </w:p>
    <w:p w:rsidR="00000000" w:rsidRPr="0023788C" w:rsidRDefault="000C11EF">
      <w:pPr>
        <w:pStyle w:val="a3"/>
        <w:jc w:val="right"/>
        <w:rPr>
          <w:color w:val="0000FF"/>
          <w:lang w:val="uk-UA"/>
        </w:rPr>
      </w:pPr>
      <w:r w:rsidRPr="0023788C">
        <w:rPr>
          <w:b/>
          <w:bCs/>
          <w:lang w:val="uk-UA"/>
        </w:rPr>
        <w:t xml:space="preserve">Всеукраїнська мережа ЛІГА:ЗАКОН </w:t>
      </w:r>
      <w:r w:rsidRPr="0023788C">
        <w:rPr>
          <w:lang w:val="uk-UA"/>
        </w:rPr>
        <w:br/>
      </w:r>
      <w:hyperlink r:id="rId4" w:history="1">
        <w:r w:rsidRPr="0023788C">
          <w:rPr>
            <w:rStyle w:val="a4"/>
            <w:b/>
            <w:bCs/>
            <w:lang w:val="uk-UA"/>
          </w:rPr>
          <w:t>www.ligazakon.ua</w:t>
        </w:r>
      </w:hyperlink>
    </w:p>
    <w:p w:rsidR="00000000" w:rsidRPr="0023788C" w:rsidRDefault="000C11EF">
      <w:pPr>
        <w:pStyle w:val="a3"/>
        <w:jc w:val="center"/>
        <w:rPr>
          <w:lang w:val="uk-UA"/>
        </w:rPr>
      </w:pPr>
      <w:r w:rsidRPr="0023788C">
        <w:rPr>
          <w:lang w:val="uk-UA"/>
        </w:rPr>
        <w:t> </w:t>
      </w:r>
    </w:p>
    <w:p w:rsidR="00000000" w:rsidRPr="0023788C" w:rsidRDefault="000C11EF">
      <w:pPr>
        <w:pStyle w:val="a3"/>
        <w:jc w:val="center"/>
        <w:rPr>
          <w:lang w:val="uk-UA"/>
        </w:rPr>
      </w:pPr>
      <w:r w:rsidRPr="0023788C">
        <w:rPr>
          <w:lang w:val="uk-UA"/>
        </w:rPr>
        <w:t>_________</w:t>
      </w:r>
      <w:r w:rsidRPr="0023788C">
        <w:rPr>
          <w:lang w:val="uk-UA"/>
        </w:rPr>
        <w:t>___</w:t>
      </w:r>
    </w:p>
    <w:p w:rsidR="00000000" w:rsidRPr="0023788C" w:rsidRDefault="000C11EF">
      <w:pPr>
        <w:pStyle w:val="a3"/>
        <w:jc w:val="center"/>
        <w:rPr>
          <w:sz w:val="20"/>
          <w:szCs w:val="20"/>
          <w:lang w:val="uk-UA"/>
        </w:rPr>
      </w:pPr>
      <w:r w:rsidRPr="0023788C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23788C">
        <w:rPr>
          <w:sz w:val="20"/>
          <w:szCs w:val="20"/>
          <w:lang w:val="uk-UA"/>
        </w:rPr>
        <w:br/>
      </w:r>
      <w:r w:rsidRPr="0023788C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(zir.minrd.gov.ua)</w:t>
      </w:r>
    </w:p>
    <w:p w:rsidR="00000000" w:rsidRPr="0023788C" w:rsidRDefault="000C11EF">
      <w:pPr>
        <w:pStyle w:val="a3"/>
        <w:jc w:val="center"/>
        <w:rPr>
          <w:sz w:val="20"/>
          <w:szCs w:val="20"/>
          <w:lang w:val="uk-UA"/>
        </w:rPr>
      </w:pPr>
      <w:r w:rsidRPr="0023788C">
        <w:rPr>
          <w:i/>
          <w:iCs/>
          <w:sz w:val="20"/>
          <w:szCs w:val="20"/>
          <w:lang w:val="uk-UA"/>
        </w:rPr>
        <w:t> </w:t>
      </w:r>
    </w:p>
    <w:p w:rsidR="00000000" w:rsidRPr="0023788C" w:rsidRDefault="000C11EF">
      <w:pPr>
        <w:pStyle w:val="a3"/>
        <w:jc w:val="center"/>
        <w:rPr>
          <w:sz w:val="20"/>
          <w:szCs w:val="20"/>
          <w:lang w:val="uk-UA"/>
        </w:rPr>
      </w:pPr>
      <w:r w:rsidRPr="0023788C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23788C">
        <w:rPr>
          <w:sz w:val="20"/>
          <w:szCs w:val="20"/>
          <w:lang w:val="uk-UA"/>
        </w:rPr>
        <w:br/>
      </w:r>
      <w:r w:rsidRPr="0023788C">
        <w:rPr>
          <w:i/>
          <w:iCs/>
          <w:sz w:val="20"/>
          <w:szCs w:val="20"/>
          <w:lang w:val="uk-UA"/>
        </w:rPr>
        <w:t>не можуть бути використані в будь-</w:t>
      </w:r>
      <w:r w:rsidRPr="0023788C">
        <w:rPr>
          <w:i/>
          <w:iCs/>
          <w:sz w:val="20"/>
          <w:szCs w:val="20"/>
          <w:lang w:val="uk-UA"/>
        </w:rPr>
        <w:t>яких інших електронних базах або друкованих виданнях.</w:t>
      </w:r>
    </w:p>
    <w:p w:rsidR="00000000" w:rsidRPr="0023788C" w:rsidRDefault="000C11EF">
      <w:pPr>
        <w:pStyle w:val="a3"/>
        <w:jc w:val="center"/>
        <w:rPr>
          <w:lang w:val="uk-UA"/>
        </w:rPr>
      </w:pPr>
      <w:r w:rsidRPr="0023788C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23788C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Pr="0023788C" w:rsidRDefault="000C11EF">
            <w:pPr>
              <w:rPr>
                <w:rFonts w:eastAsia="Times New Roman"/>
                <w:lang w:val="uk-UA"/>
              </w:rPr>
            </w:pPr>
            <w:r w:rsidRPr="0023788C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23788C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Pr="0023788C" w:rsidRDefault="000C11EF">
            <w:pPr>
              <w:rPr>
                <w:rFonts w:eastAsia="Times New Roman"/>
                <w:lang w:val="uk-UA"/>
              </w:rPr>
            </w:pPr>
            <w:r w:rsidRPr="0023788C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1EF" w:rsidRPr="0023788C" w:rsidRDefault="000C11EF">
      <w:pPr>
        <w:rPr>
          <w:rFonts w:eastAsia="Times New Roman"/>
          <w:lang w:val="uk-UA"/>
        </w:rPr>
      </w:pPr>
    </w:p>
    <w:sectPr w:rsidR="000C11EF" w:rsidRPr="0023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AA542A"/>
    <w:rsid w:val="000C11EF"/>
    <w:rsid w:val="0022707D"/>
    <w:rsid w:val="0023788C"/>
    <w:rsid w:val="00AA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3</cp:revision>
  <dcterms:created xsi:type="dcterms:W3CDTF">2014-05-29T09:27:00Z</dcterms:created>
  <dcterms:modified xsi:type="dcterms:W3CDTF">2014-05-29T09:27:00Z</dcterms:modified>
</cp:coreProperties>
</file>