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87" w:rsidRPr="00A715C6" w:rsidRDefault="00F31B82">
      <w:pPr>
        <w:pStyle w:val="a3"/>
        <w:jc w:val="center"/>
        <w:rPr>
          <w:sz w:val="27"/>
          <w:szCs w:val="27"/>
          <w:lang w:val="uk-UA"/>
        </w:rPr>
      </w:pPr>
      <w:r w:rsidRPr="00A715C6">
        <w:rPr>
          <w:b/>
          <w:bCs/>
          <w:sz w:val="27"/>
          <w:szCs w:val="27"/>
          <w:lang w:val="uk-UA"/>
        </w:rPr>
        <w:t>МІНІСТЕРСТВО ДОХОДІВ І ЗБОРІВ УКРАЇНИ</w:t>
      </w:r>
    </w:p>
    <w:p w:rsidR="00C21187" w:rsidRPr="00A715C6" w:rsidRDefault="00F31B82">
      <w:pPr>
        <w:pStyle w:val="a3"/>
        <w:jc w:val="center"/>
        <w:rPr>
          <w:sz w:val="36"/>
          <w:szCs w:val="36"/>
          <w:lang w:val="uk-UA"/>
        </w:rPr>
      </w:pPr>
      <w:r w:rsidRPr="00A715C6">
        <w:rPr>
          <w:b/>
          <w:bCs/>
          <w:sz w:val="36"/>
          <w:szCs w:val="36"/>
          <w:lang w:val="uk-UA"/>
        </w:rPr>
        <w:t>ЗАГАЛЬНОДОСТУПНИЙ ІНФОРМАЦІЙНО-ДОВІДКОВИЙ РЕСУРС "ЗІР"</w:t>
      </w:r>
    </w:p>
    <w:p w:rsidR="00C21187" w:rsidRPr="00A715C6" w:rsidRDefault="00F31B82">
      <w:pPr>
        <w:pStyle w:val="a3"/>
        <w:jc w:val="center"/>
        <w:rPr>
          <w:sz w:val="27"/>
          <w:szCs w:val="27"/>
          <w:lang w:val="uk-UA"/>
        </w:rPr>
      </w:pPr>
      <w:r w:rsidRPr="00A715C6">
        <w:rPr>
          <w:b/>
          <w:bCs/>
          <w:sz w:val="27"/>
          <w:szCs w:val="27"/>
          <w:lang w:val="uk-UA"/>
        </w:rPr>
        <w:t>ЗАПИТАННЯ-ВІДПОВІДІ</w:t>
      </w:r>
    </w:p>
    <w:p w:rsidR="00C21187" w:rsidRPr="00A715C6" w:rsidRDefault="00F31B82">
      <w:pPr>
        <w:pStyle w:val="2"/>
        <w:jc w:val="both"/>
        <w:rPr>
          <w:rFonts w:eastAsia="Times New Roman"/>
          <w:lang w:val="uk-UA"/>
        </w:rPr>
      </w:pPr>
      <w:r w:rsidRPr="00A715C6">
        <w:rPr>
          <w:rFonts w:eastAsia="Times New Roman"/>
          <w:lang w:val="uk-UA"/>
        </w:rPr>
        <w:t>Питання: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>Чи є об'єктом оподаткування особливим податком операції з видачі, передачі та погашення векселів?</w:t>
      </w:r>
    </w:p>
    <w:p w:rsidR="00C21187" w:rsidRPr="00A715C6" w:rsidRDefault="00F31B82">
      <w:pPr>
        <w:pStyle w:val="2"/>
        <w:jc w:val="both"/>
        <w:rPr>
          <w:rFonts w:eastAsia="Times New Roman"/>
          <w:lang w:val="uk-UA"/>
        </w:rPr>
      </w:pPr>
      <w:r w:rsidRPr="00A715C6">
        <w:rPr>
          <w:rFonts w:eastAsia="Times New Roman"/>
          <w:lang w:val="uk-UA"/>
        </w:rPr>
        <w:t>Відповідь: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Відповідно до </w:t>
      </w:r>
      <w:r w:rsidRPr="00A715C6">
        <w:rPr>
          <w:color w:val="0000FF"/>
          <w:lang w:val="uk-UA"/>
        </w:rPr>
        <w:t>пп. 14.1.4 п. 14.1 ст. 14 Податкового кодексу України від 02.12.2010 року N 2755-VI</w:t>
      </w:r>
      <w:r w:rsidRPr="00A715C6">
        <w:rPr>
          <w:lang w:val="uk-UA"/>
        </w:rPr>
        <w:t xml:space="preserve"> (далі - ПКУ) акцизний податок - непрямий податок на споживання окремих видів товарів (продукції), визначених ПКУ як підакцизні, що включається до ціни таких товарів (продукції), а також особливий податок на операції з відчуження цінних паперів та операцій з деривативами.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Згідно із </w:t>
      </w:r>
      <w:r w:rsidRPr="00A715C6">
        <w:rPr>
          <w:color w:val="0000FF"/>
          <w:lang w:val="uk-UA"/>
        </w:rPr>
        <w:t>пп. 213.1.7 п. 213.1 ст. 213 ПКУ</w:t>
      </w:r>
      <w:r w:rsidRPr="00A715C6">
        <w:rPr>
          <w:lang w:val="uk-UA"/>
        </w:rPr>
        <w:t xml:space="preserve"> об'єктами оподаткування особливим податком є операції з продажу, обміну або інших способів відчуження цінних паперів, де відбувається перехід права власності на цінні папери, та операції з деривативами, крім операцій, що здійснюються на міжбанківському ринку деривативів.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При цьому до операцій, які не підлягають оподаткуванню акцизним податком, належать, зокрема, операції за участю векселедавця, </w:t>
      </w:r>
      <w:proofErr w:type="spellStart"/>
      <w:r w:rsidRPr="00A715C6">
        <w:rPr>
          <w:lang w:val="uk-UA"/>
        </w:rPr>
        <w:t>заставодавця</w:t>
      </w:r>
      <w:proofErr w:type="spellEnd"/>
      <w:r w:rsidRPr="00A715C6">
        <w:rPr>
          <w:lang w:val="uk-UA"/>
        </w:rPr>
        <w:t xml:space="preserve"> та іншої особи, що видала або урахувала ордерний або борговий цінний папір з видачі, урахування та погашення цінних паперів.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Відповідно до </w:t>
      </w:r>
      <w:r w:rsidRPr="00A715C6">
        <w:rPr>
          <w:color w:val="0000FF"/>
          <w:lang w:val="uk-UA"/>
        </w:rPr>
        <w:t>Закону України від 23 лютого 2006 року N 3480-IV "Про цінні папери та фондовий ринок"</w:t>
      </w:r>
      <w:r w:rsidRPr="00A715C6">
        <w:rPr>
          <w:lang w:val="uk-UA"/>
        </w:rPr>
        <w:t>, із змінами і доповненнями, під індосаментом розуміється передавальний напис на ордерному цінному папері, що посвідчує перехід прав на цінний папір та прав за цінним папером до іншої особи в установленому порядку.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Таким чином, видача векселя, урахування векселя, його погашення не є об'єктом оподаткування особливим податком згідно </w:t>
      </w:r>
      <w:r w:rsidRPr="00A715C6">
        <w:rPr>
          <w:color w:val="0000FF"/>
          <w:lang w:val="uk-UA"/>
        </w:rPr>
        <w:t>пп. 213.2.4 п. 213.2 ст. 213 ПКУ</w:t>
      </w:r>
      <w:r w:rsidRPr="00A715C6">
        <w:rPr>
          <w:lang w:val="uk-UA"/>
        </w:rPr>
        <w:t>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Однак операція вчинення індосаменту (передача векселя) є об'єктом оподаткування особливим податком згідно </w:t>
      </w:r>
      <w:r w:rsidRPr="00A715C6">
        <w:rPr>
          <w:color w:val="0000FF"/>
          <w:lang w:val="uk-UA"/>
        </w:rPr>
        <w:t>пп. 213.1.7 п. 213.1 ст. 213 ПКУ</w:t>
      </w:r>
      <w:r w:rsidRPr="00A715C6">
        <w:rPr>
          <w:lang w:val="uk-UA"/>
        </w:rPr>
        <w:t>, оскільки така операція передбачає перехід прав власності на цінний папір до іншої особи.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 xml:space="preserve">Такі операції оподатковуються за ставкою 1,5 відсотка від суми операції з продажу цінних паперів поза фондовою біржею, що не перебувають у біржовому реєстрі відповідно до </w:t>
      </w:r>
      <w:r w:rsidRPr="00A715C6">
        <w:rPr>
          <w:color w:val="0000FF"/>
          <w:lang w:val="uk-UA"/>
        </w:rPr>
        <w:t>пп. 215</w:t>
      </w:r>
      <w:r w:rsidRPr="00A715C6">
        <w:rPr>
          <w:color w:val="0000FF"/>
          <w:vertAlign w:val="superscript"/>
          <w:lang w:val="uk-UA"/>
        </w:rPr>
        <w:t xml:space="preserve"> 1</w:t>
      </w:r>
      <w:r w:rsidRPr="00A715C6">
        <w:rPr>
          <w:color w:val="0000FF"/>
          <w:lang w:val="uk-UA"/>
        </w:rPr>
        <w:t>.1.4 п. 215</w:t>
      </w:r>
      <w:r w:rsidRPr="00A715C6">
        <w:rPr>
          <w:color w:val="0000FF"/>
          <w:vertAlign w:val="superscript"/>
          <w:lang w:val="uk-UA"/>
        </w:rPr>
        <w:t xml:space="preserve"> 1</w:t>
      </w:r>
      <w:r w:rsidRPr="00A715C6">
        <w:rPr>
          <w:color w:val="0000FF"/>
          <w:lang w:val="uk-UA"/>
        </w:rPr>
        <w:t>.1 ст. 215 прим. 1 ПКУ</w:t>
      </w:r>
      <w:r w:rsidRPr="00A715C6">
        <w:rPr>
          <w:lang w:val="uk-UA"/>
        </w:rPr>
        <w:t>.</w:t>
      </w:r>
    </w:p>
    <w:p w:rsidR="00C21187" w:rsidRPr="00A715C6" w:rsidRDefault="00F31B82">
      <w:pPr>
        <w:pStyle w:val="a3"/>
        <w:jc w:val="both"/>
        <w:rPr>
          <w:lang w:val="uk-UA"/>
        </w:rPr>
      </w:pPr>
      <w:r w:rsidRPr="00A715C6">
        <w:rPr>
          <w:lang w:val="uk-UA"/>
        </w:rPr>
        <w:t> </w:t>
      </w:r>
    </w:p>
    <w:p w:rsidR="00C21187" w:rsidRPr="00A715C6" w:rsidRDefault="00F31B82">
      <w:pPr>
        <w:pStyle w:val="a3"/>
        <w:jc w:val="right"/>
        <w:rPr>
          <w:lang w:val="uk-UA"/>
        </w:rPr>
      </w:pPr>
      <w:r w:rsidRPr="00A715C6">
        <w:rPr>
          <w:b/>
          <w:bCs/>
          <w:i/>
          <w:iCs/>
          <w:lang w:val="uk-UA"/>
        </w:rPr>
        <w:t>Інформаційно-довідковий департамент Міністерства доходів і зборів України</w:t>
      </w:r>
    </w:p>
    <w:p w:rsidR="00C21187" w:rsidRPr="00A715C6" w:rsidRDefault="00F31B82">
      <w:pPr>
        <w:pStyle w:val="a3"/>
        <w:jc w:val="right"/>
        <w:rPr>
          <w:lang w:val="uk-UA"/>
        </w:rPr>
      </w:pPr>
      <w:r w:rsidRPr="00A715C6">
        <w:rPr>
          <w:i/>
          <w:iCs/>
          <w:lang w:val="uk-UA"/>
        </w:rPr>
        <w:lastRenderedPageBreak/>
        <w:t xml:space="preserve">Відповіді на питання щодо оподаткування, </w:t>
      </w:r>
      <w:r w:rsidRPr="00A715C6">
        <w:rPr>
          <w:lang w:val="uk-UA"/>
        </w:rPr>
        <w:br/>
      </w:r>
      <w:r w:rsidRPr="00A715C6">
        <w:rPr>
          <w:i/>
          <w:iCs/>
          <w:lang w:val="uk-UA"/>
        </w:rPr>
        <w:t xml:space="preserve">митної справи та єдиного соціального внеску на </w:t>
      </w:r>
      <w:r w:rsidRPr="00A715C6">
        <w:rPr>
          <w:lang w:val="uk-UA"/>
        </w:rPr>
        <w:br/>
      </w:r>
      <w:r w:rsidRPr="00A715C6">
        <w:rPr>
          <w:i/>
          <w:iCs/>
          <w:lang w:val="uk-UA"/>
        </w:rPr>
        <w:t xml:space="preserve">загальнообов'язкове державне соціальне страхування </w:t>
      </w:r>
      <w:r w:rsidRPr="00A715C6">
        <w:rPr>
          <w:lang w:val="uk-UA"/>
        </w:rPr>
        <w:br/>
      </w:r>
      <w:r w:rsidRPr="00A715C6">
        <w:rPr>
          <w:i/>
          <w:iCs/>
          <w:lang w:val="uk-UA"/>
        </w:rPr>
        <w:t xml:space="preserve">можна отримати за телефоном 0-800-501-007 </w:t>
      </w:r>
      <w:r w:rsidRPr="00A715C6">
        <w:rPr>
          <w:lang w:val="uk-UA"/>
        </w:rPr>
        <w:br/>
      </w:r>
      <w:r w:rsidRPr="00A715C6">
        <w:rPr>
          <w:i/>
          <w:iCs/>
          <w:lang w:val="uk-UA"/>
        </w:rPr>
        <w:t>(безкоштовно зі стаціонарних телефонів)</w:t>
      </w:r>
    </w:p>
    <w:p w:rsidR="00C21187" w:rsidRPr="00A715C6" w:rsidRDefault="00F31B82">
      <w:pPr>
        <w:pStyle w:val="a3"/>
        <w:jc w:val="right"/>
        <w:rPr>
          <w:lang w:val="uk-UA"/>
        </w:rPr>
      </w:pPr>
      <w:r w:rsidRPr="00A715C6">
        <w:rPr>
          <w:lang w:val="uk-UA"/>
        </w:rPr>
        <w:t> </w:t>
      </w:r>
    </w:p>
    <w:p w:rsidR="00C21187" w:rsidRPr="00A715C6" w:rsidRDefault="00F31B82">
      <w:pPr>
        <w:pStyle w:val="a3"/>
        <w:jc w:val="right"/>
        <w:rPr>
          <w:color w:val="0000FF"/>
          <w:lang w:val="uk-UA"/>
        </w:rPr>
      </w:pPr>
      <w:r w:rsidRPr="00A715C6">
        <w:rPr>
          <w:b/>
          <w:bCs/>
          <w:lang w:val="uk-UA"/>
        </w:rPr>
        <w:t xml:space="preserve">Всеукраїнська мережа ЛІГА:ЗАКОН </w:t>
      </w:r>
      <w:r w:rsidRPr="00A715C6">
        <w:rPr>
          <w:lang w:val="uk-UA"/>
        </w:rPr>
        <w:br/>
      </w:r>
      <w:hyperlink r:id="rId4" w:history="1">
        <w:r w:rsidRPr="00A715C6">
          <w:rPr>
            <w:rStyle w:val="a4"/>
            <w:b/>
            <w:bCs/>
            <w:lang w:val="uk-UA"/>
          </w:rPr>
          <w:t>www.ligazakon.ua</w:t>
        </w:r>
      </w:hyperlink>
    </w:p>
    <w:p w:rsidR="00C21187" w:rsidRPr="00A715C6" w:rsidRDefault="00F31B82">
      <w:pPr>
        <w:pStyle w:val="a3"/>
        <w:jc w:val="center"/>
        <w:rPr>
          <w:lang w:val="uk-UA"/>
        </w:rPr>
      </w:pPr>
      <w:r w:rsidRPr="00A715C6">
        <w:rPr>
          <w:lang w:val="uk-UA"/>
        </w:rPr>
        <w:t> </w:t>
      </w:r>
    </w:p>
    <w:p w:rsidR="00C21187" w:rsidRPr="00A715C6" w:rsidRDefault="00F31B82">
      <w:pPr>
        <w:pStyle w:val="a3"/>
        <w:jc w:val="center"/>
        <w:rPr>
          <w:lang w:val="uk-UA"/>
        </w:rPr>
      </w:pPr>
      <w:r w:rsidRPr="00A715C6">
        <w:rPr>
          <w:lang w:val="uk-UA"/>
        </w:rPr>
        <w:t>____________</w:t>
      </w:r>
    </w:p>
    <w:p w:rsidR="00C21187" w:rsidRPr="00A715C6" w:rsidRDefault="00F31B82">
      <w:pPr>
        <w:pStyle w:val="a3"/>
        <w:jc w:val="center"/>
        <w:rPr>
          <w:sz w:val="20"/>
          <w:szCs w:val="20"/>
          <w:lang w:val="uk-UA"/>
        </w:rPr>
      </w:pPr>
      <w:r w:rsidRPr="00A715C6">
        <w:rPr>
          <w:i/>
          <w:iCs/>
          <w:sz w:val="20"/>
          <w:szCs w:val="20"/>
          <w:lang w:val="uk-UA"/>
        </w:rPr>
        <w:t xml:space="preserve">Матеріали ресурсу "ЗІР" представлені у системах ЛІГА:ЗАКОН </w:t>
      </w:r>
      <w:r w:rsidRPr="00A715C6">
        <w:rPr>
          <w:sz w:val="20"/>
          <w:szCs w:val="20"/>
          <w:lang w:val="uk-UA"/>
        </w:rPr>
        <w:br/>
      </w:r>
      <w:r w:rsidRPr="00A715C6">
        <w:rPr>
          <w:i/>
          <w:iCs/>
          <w:sz w:val="20"/>
          <w:szCs w:val="20"/>
          <w:lang w:val="uk-UA"/>
        </w:rPr>
        <w:t>за погодженням з Міністерством доходів і зборів України (</w:t>
      </w:r>
      <w:proofErr w:type="spellStart"/>
      <w:r w:rsidRPr="00A715C6">
        <w:rPr>
          <w:i/>
          <w:iCs/>
          <w:sz w:val="20"/>
          <w:szCs w:val="20"/>
          <w:lang w:val="uk-UA"/>
        </w:rPr>
        <w:t>zir.minrd.gov.ua</w:t>
      </w:r>
      <w:proofErr w:type="spellEnd"/>
      <w:r w:rsidRPr="00A715C6">
        <w:rPr>
          <w:i/>
          <w:iCs/>
          <w:sz w:val="20"/>
          <w:szCs w:val="20"/>
          <w:lang w:val="uk-UA"/>
        </w:rPr>
        <w:t>)</w:t>
      </w:r>
    </w:p>
    <w:p w:rsidR="00C21187" w:rsidRPr="00A715C6" w:rsidRDefault="00F31B82">
      <w:pPr>
        <w:pStyle w:val="a3"/>
        <w:jc w:val="center"/>
        <w:rPr>
          <w:sz w:val="20"/>
          <w:szCs w:val="20"/>
          <w:lang w:val="uk-UA"/>
        </w:rPr>
      </w:pPr>
      <w:r w:rsidRPr="00A715C6">
        <w:rPr>
          <w:i/>
          <w:iCs/>
          <w:sz w:val="20"/>
          <w:szCs w:val="20"/>
          <w:lang w:val="uk-UA"/>
        </w:rPr>
        <w:t> </w:t>
      </w:r>
    </w:p>
    <w:p w:rsidR="00C21187" w:rsidRPr="00A715C6" w:rsidRDefault="00F31B82">
      <w:pPr>
        <w:pStyle w:val="a3"/>
        <w:jc w:val="center"/>
        <w:rPr>
          <w:sz w:val="20"/>
          <w:szCs w:val="20"/>
          <w:lang w:val="uk-UA"/>
        </w:rPr>
      </w:pPr>
      <w:r w:rsidRPr="00A715C6">
        <w:rPr>
          <w:i/>
          <w:iCs/>
          <w:sz w:val="20"/>
          <w:szCs w:val="20"/>
          <w:lang w:val="uk-UA"/>
        </w:rPr>
        <w:t xml:space="preserve">Матеріали, розміщені в системах інформаційно-правового забезпечення ЛІГА:ЗАКОН, </w:t>
      </w:r>
      <w:r w:rsidRPr="00A715C6">
        <w:rPr>
          <w:sz w:val="20"/>
          <w:szCs w:val="20"/>
          <w:lang w:val="uk-UA"/>
        </w:rPr>
        <w:br/>
      </w:r>
      <w:r w:rsidRPr="00A715C6">
        <w:rPr>
          <w:i/>
          <w:iCs/>
          <w:sz w:val="20"/>
          <w:szCs w:val="20"/>
          <w:lang w:val="uk-UA"/>
        </w:rPr>
        <w:t>не можуть бути використані в будь-яких інших електронних базах або друкованих виданнях.</w:t>
      </w:r>
    </w:p>
    <w:p w:rsidR="00C21187" w:rsidRPr="00A715C6" w:rsidRDefault="00F31B82">
      <w:pPr>
        <w:pStyle w:val="a3"/>
        <w:jc w:val="center"/>
        <w:rPr>
          <w:lang w:val="uk-UA"/>
        </w:rPr>
      </w:pPr>
      <w:r w:rsidRPr="00A715C6">
        <w:rPr>
          <w:lang w:val="uk-UA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0"/>
        <w:gridCol w:w="1215"/>
      </w:tblGrid>
      <w:tr w:rsidR="00C21187" w:rsidRPr="00A715C6">
        <w:trPr>
          <w:tblCellSpacing w:w="15" w:type="dxa"/>
          <w:jc w:val="center"/>
        </w:trPr>
        <w:tc>
          <w:tcPr>
            <w:tcW w:w="4500" w:type="pct"/>
            <w:vAlign w:val="center"/>
            <w:hideMark/>
          </w:tcPr>
          <w:p w:rsidR="00C21187" w:rsidRPr="00A715C6" w:rsidRDefault="00F31B82">
            <w:pPr>
              <w:rPr>
                <w:rFonts w:eastAsia="Times New Roman"/>
                <w:lang w:val="uk-UA"/>
              </w:rPr>
            </w:pPr>
            <w:r w:rsidRPr="00A715C6">
              <w:rPr>
                <w:rFonts w:eastAsia="Times New Roman"/>
                <w:lang w:val="uk-UA"/>
              </w:rPr>
              <w:t>© ТОВ "Інформаційно-аналітичний центр "ЛІГА", 2014</w:t>
            </w:r>
            <w:r w:rsidRPr="00A715C6">
              <w:rPr>
                <w:rFonts w:eastAsia="Times New Roman"/>
                <w:lang w:val="uk-UA"/>
              </w:rPr>
              <w:br/>
              <w:t>© ТОВ "ЛІГА ЗАКОН", 2014</w:t>
            </w:r>
          </w:p>
        </w:tc>
        <w:tc>
          <w:tcPr>
            <w:tcW w:w="500" w:type="pct"/>
            <w:vAlign w:val="center"/>
            <w:hideMark/>
          </w:tcPr>
          <w:p w:rsidR="00C21187" w:rsidRPr="00A715C6" w:rsidRDefault="00F31B82">
            <w:pPr>
              <w:rPr>
                <w:rFonts w:eastAsia="Times New Roman"/>
                <w:lang w:val="uk-UA"/>
              </w:rPr>
            </w:pPr>
            <w:r w:rsidRPr="00A715C6">
              <w:rPr>
                <w:rFonts w:eastAsia="Times New Roman"/>
                <w:noProof/>
                <w:lang w:val="uk-UA"/>
              </w:rPr>
              <w:drawing>
                <wp:inline distT="0" distB="0" distL="0" distR="0">
                  <wp:extent cx="695325" cy="314325"/>
                  <wp:effectExtent l="19050" t="0" r="9525" b="0"/>
                  <wp:docPr id="1" name="Рисунок 1" descr="C:\Users\s.moskvin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.moskvin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B82" w:rsidRPr="00A715C6" w:rsidRDefault="00F31B82">
      <w:pPr>
        <w:rPr>
          <w:rFonts w:eastAsia="Times New Roman"/>
          <w:lang w:val="uk-UA"/>
        </w:rPr>
      </w:pPr>
    </w:p>
    <w:sectPr w:rsidR="00F31B82" w:rsidRPr="00A715C6" w:rsidSect="00C2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911D48"/>
    <w:rsid w:val="003F7669"/>
    <w:rsid w:val="00911D48"/>
    <w:rsid w:val="00A715C6"/>
    <w:rsid w:val="00C21187"/>
    <w:rsid w:val="00F3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87"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211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18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C21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C211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118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6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66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s.moskvin\AppData\Roaming\Liga70\Client\Session\LOGOTYPE.BMP" TargetMode="External"/><Relationship Id="rId4" Type="http://schemas.openxmlformats.org/officeDocument/2006/relationships/hyperlink" Target="http://www.ligazakon.ua/?syst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s.moskvin</dc:creator>
  <cp:lastModifiedBy>s.moskvin</cp:lastModifiedBy>
  <cp:revision>4</cp:revision>
  <dcterms:created xsi:type="dcterms:W3CDTF">2014-05-22T12:13:00Z</dcterms:created>
  <dcterms:modified xsi:type="dcterms:W3CDTF">2014-05-26T14:32:00Z</dcterms:modified>
</cp:coreProperties>
</file>