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09D" w:rsidRPr="00C300CC" w:rsidRDefault="0011252C">
      <w:pPr>
        <w:pStyle w:val="a3"/>
        <w:jc w:val="center"/>
        <w:rPr>
          <w:sz w:val="27"/>
          <w:szCs w:val="27"/>
          <w:lang w:val="uk-UA"/>
        </w:rPr>
      </w:pPr>
      <w:bookmarkStart w:id="0" w:name="_GoBack"/>
      <w:r w:rsidRPr="00C300CC">
        <w:rPr>
          <w:b/>
          <w:bCs/>
          <w:sz w:val="27"/>
          <w:szCs w:val="27"/>
          <w:lang w:val="uk-UA"/>
        </w:rPr>
        <w:t>МІНІСТЕРСТВО ДОХОДІВ І ЗБОРІВ УКРАЇНИ</w:t>
      </w:r>
    </w:p>
    <w:p w:rsidR="008D209D" w:rsidRPr="00C300CC" w:rsidRDefault="0011252C">
      <w:pPr>
        <w:pStyle w:val="a3"/>
        <w:jc w:val="center"/>
        <w:rPr>
          <w:sz w:val="36"/>
          <w:szCs w:val="36"/>
          <w:lang w:val="uk-UA"/>
        </w:rPr>
      </w:pPr>
      <w:r w:rsidRPr="00C300CC">
        <w:rPr>
          <w:b/>
          <w:bCs/>
          <w:sz w:val="36"/>
          <w:szCs w:val="36"/>
          <w:lang w:val="uk-UA"/>
        </w:rPr>
        <w:t>ЗАГАЛЬНОДОСТУПНИЙ ІНФОРМАЦІЙНО-ДОВІДКОВИЙ РЕСУРС "ЗІР"</w:t>
      </w:r>
    </w:p>
    <w:p w:rsidR="008D209D" w:rsidRPr="00C300CC" w:rsidRDefault="0011252C">
      <w:pPr>
        <w:pStyle w:val="a3"/>
        <w:jc w:val="center"/>
        <w:rPr>
          <w:lang w:val="uk-UA"/>
        </w:rPr>
      </w:pPr>
      <w:r w:rsidRPr="00C300CC">
        <w:rPr>
          <w:b/>
          <w:bCs/>
          <w:lang w:val="uk-UA"/>
        </w:rPr>
        <w:t>ЗАПИТАННЯ-ВІДПОВІДІ</w:t>
      </w:r>
    </w:p>
    <w:p w:rsidR="008D209D" w:rsidRPr="00C300CC" w:rsidRDefault="0011252C">
      <w:pPr>
        <w:pStyle w:val="2"/>
        <w:jc w:val="both"/>
        <w:rPr>
          <w:rFonts w:eastAsia="Times New Roman"/>
          <w:lang w:val="uk-UA"/>
        </w:rPr>
      </w:pPr>
      <w:r w:rsidRPr="00C300CC">
        <w:rPr>
          <w:rFonts w:eastAsia="Times New Roman"/>
          <w:lang w:val="uk-UA"/>
        </w:rPr>
        <w:t>Питання:</w:t>
      </w:r>
    </w:p>
    <w:p w:rsidR="008D209D" w:rsidRPr="00C300CC" w:rsidRDefault="0011252C">
      <w:pPr>
        <w:pStyle w:val="a3"/>
        <w:jc w:val="both"/>
        <w:rPr>
          <w:lang w:val="uk-UA"/>
        </w:rPr>
      </w:pPr>
      <w:r w:rsidRPr="00C300CC">
        <w:rPr>
          <w:lang w:val="uk-UA"/>
        </w:rPr>
        <w:t>Яким чином податковий агент може повернути або врахувати в рахунок сплати наступних платежів суму надміру сплаченого податку на доходи фізичних осіб?</w:t>
      </w:r>
    </w:p>
    <w:p w:rsidR="008D209D" w:rsidRPr="00C300CC" w:rsidRDefault="0011252C">
      <w:pPr>
        <w:pStyle w:val="2"/>
        <w:jc w:val="both"/>
        <w:rPr>
          <w:rFonts w:eastAsia="Times New Roman"/>
          <w:lang w:val="uk-UA"/>
        </w:rPr>
      </w:pPr>
      <w:r w:rsidRPr="00C300CC">
        <w:rPr>
          <w:rFonts w:eastAsia="Times New Roman"/>
          <w:lang w:val="uk-UA"/>
        </w:rPr>
        <w:t>Відповідь:</w:t>
      </w:r>
    </w:p>
    <w:p w:rsidR="008D209D" w:rsidRPr="00C300CC" w:rsidRDefault="0011252C">
      <w:pPr>
        <w:pStyle w:val="a3"/>
        <w:jc w:val="both"/>
        <w:rPr>
          <w:lang w:val="uk-UA"/>
        </w:rPr>
      </w:pPr>
      <w:r w:rsidRPr="00C300CC">
        <w:rPr>
          <w:lang w:val="uk-UA"/>
        </w:rPr>
        <w:t xml:space="preserve">Умови повернення помилково та/або надміру сплачених грошових зобов'язань визначені </w:t>
      </w:r>
      <w:r w:rsidRPr="00C300CC">
        <w:rPr>
          <w:color w:val="0000FF"/>
          <w:lang w:val="uk-UA"/>
        </w:rPr>
        <w:t>ст. 43 Податкового кодексу України від 2 грудня 2010 року N 2755-VI</w:t>
      </w:r>
      <w:r w:rsidRPr="00C300CC">
        <w:rPr>
          <w:lang w:val="uk-UA"/>
        </w:rPr>
        <w:t xml:space="preserve">, із змінами та доповненнями (далі - </w:t>
      </w:r>
      <w:proofErr w:type="spellStart"/>
      <w:r w:rsidRPr="00C300CC">
        <w:rPr>
          <w:lang w:val="uk-UA"/>
        </w:rPr>
        <w:t>ПКУ</w:t>
      </w:r>
      <w:proofErr w:type="spellEnd"/>
      <w:r w:rsidRPr="00C300CC">
        <w:rPr>
          <w:lang w:val="uk-UA"/>
        </w:rPr>
        <w:t>).</w:t>
      </w:r>
    </w:p>
    <w:p w:rsidR="008D209D" w:rsidRPr="00C300CC" w:rsidRDefault="0011252C">
      <w:pPr>
        <w:pStyle w:val="a3"/>
        <w:jc w:val="both"/>
        <w:rPr>
          <w:lang w:val="uk-UA"/>
        </w:rPr>
      </w:pPr>
      <w:r w:rsidRPr="00C300CC">
        <w:rPr>
          <w:lang w:val="uk-UA"/>
        </w:rPr>
        <w:t xml:space="preserve">Відповідно до </w:t>
      </w:r>
      <w:r w:rsidRPr="00C300CC">
        <w:rPr>
          <w:color w:val="0000FF"/>
          <w:lang w:val="uk-UA"/>
        </w:rPr>
        <w:t xml:space="preserve">п. 43.3 ст. 43 </w:t>
      </w:r>
      <w:proofErr w:type="spellStart"/>
      <w:r w:rsidRPr="00C300CC">
        <w:rPr>
          <w:color w:val="0000FF"/>
          <w:lang w:val="uk-UA"/>
        </w:rPr>
        <w:t>ПКУ</w:t>
      </w:r>
      <w:proofErr w:type="spellEnd"/>
      <w:r w:rsidRPr="00C300CC">
        <w:rPr>
          <w:lang w:val="uk-UA"/>
        </w:rPr>
        <w:t xml:space="preserve"> обов'язковою умовою для здійснення повернення сум грошового зобов'язання є подання платником податків заяви про таке повернення (крім повернення надміру утриманих (сплачених) сум податку на доходи фізичних осіб, які розраховуються контролюючим органом на підставі поданої платником податків </w:t>
      </w:r>
      <w:r w:rsidRPr="00C300CC">
        <w:rPr>
          <w:color w:val="0000FF"/>
          <w:lang w:val="uk-UA"/>
        </w:rPr>
        <w:t>податкової декларації</w:t>
      </w:r>
      <w:r w:rsidRPr="00C300CC">
        <w:rPr>
          <w:lang w:val="uk-UA"/>
        </w:rPr>
        <w:t xml:space="preserve"> за звітний календарний рік шляхом проведення перерахунку за загальним річним оподатковуваним доходом платника податку) протягом 1095 днів від дня виникнення помилково та/або надміру сплаченої суми.</w:t>
      </w:r>
    </w:p>
    <w:p w:rsidR="008D209D" w:rsidRPr="00C300CC" w:rsidRDefault="0011252C">
      <w:pPr>
        <w:pStyle w:val="a3"/>
        <w:jc w:val="both"/>
        <w:rPr>
          <w:lang w:val="uk-UA"/>
        </w:rPr>
      </w:pPr>
      <w:r w:rsidRPr="00C300CC">
        <w:rPr>
          <w:lang w:val="uk-UA"/>
        </w:rPr>
        <w:t xml:space="preserve">Згідно із </w:t>
      </w:r>
      <w:r w:rsidRPr="00C300CC">
        <w:rPr>
          <w:color w:val="0000FF"/>
          <w:lang w:val="uk-UA"/>
        </w:rPr>
        <w:t xml:space="preserve">п. 43.4 ст. 43 </w:t>
      </w:r>
      <w:proofErr w:type="spellStart"/>
      <w:r w:rsidRPr="00C300CC">
        <w:rPr>
          <w:color w:val="0000FF"/>
          <w:lang w:val="uk-UA"/>
        </w:rPr>
        <w:t>ПКУ</w:t>
      </w:r>
      <w:proofErr w:type="spellEnd"/>
      <w:r w:rsidRPr="00C300CC">
        <w:rPr>
          <w:lang w:val="uk-UA"/>
        </w:rPr>
        <w:t xml:space="preserve"> платник податків подає заяву на повернення помилково та/або надміру сплачених грошових зобов'язань у довільній формі, в якій зазначає напрям перерахування коштів: на поточний рахунок платника податків в установі банку; на погашення грошового зобов'язання (податкового боргу) з інших платежів, контроль за справлянням яких покладено на контролюючі органи, незалежно від виду бюджету; повернення готівковими коштами за чеком у разі відсутності у платника податків рахунку в банку.</w:t>
      </w:r>
    </w:p>
    <w:p w:rsidR="008D209D" w:rsidRPr="00C300CC" w:rsidRDefault="0011252C">
      <w:pPr>
        <w:pStyle w:val="a3"/>
        <w:jc w:val="both"/>
        <w:rPr>
          <w:lang w:val="uk-UA"/>
        </w:rPr>
      </w:pPr>
      <w:r w:rsidRPr="00C300CC">
        <w:rPr>
          <w:lang w:val="uk-UA"/>
        </w:rPr>
        <w:t>Контролюючий орган не пізніше ніж за п'ять робочих днів до закінчення двадцятиденного строку з дня подання платником податків заяви готує висновок про повернення відповідних сум коштів з відповідного бюджету та подає його для виконання відповідному органові, що здійснює казначейське обслуговування бюджетних коштів (</w:t>
      </w:r>
      <w:r w:rsidRPr="00C300CC">
        <w:rPr>
          <w:color w:val="0000FF"/>
          <w:lang w:val="uk-UA"/>
        </w:rPr>
        <w:t xml:space="preserve">п. 43.5 ст. 43 </w:t>
      </w:r>
      <w:proofErr w:type="spellStart"/>
      <w:r w:rsidRPr="00C300CC">
        <w:rPr>
          <w:color w:val="0000FF"/>
          <w:lang w:val="uk-UA"/>
        </w:rPr>
        <w:t>ПКУ</w:t>
      </w:r>
      <w:proofErr w:type="spellEnd"/>
      <w:r w:rsidRPr="00C300CC">
        <w:rPr>
          <w:lang w:val="uk-UA"/>
        </w:rPr>
        <w:t>).</w:t>
      </w:r>
    </w:p>
    <w:p w:rsidR="008D209D" w:rsidRPr="00C300CC" w:rsidRDefault="0011252C">
      <w:pPr>
        <w:pStyle w:val="a3"/>
        <w:jc w:val="both"/>
        <w:rPr>
          <w:lang w:val="uk-UA"/>
        </w:rPr>
      </w:pPr>
      <w:r w:rsidRPr="00C300CC">
        <w:rPr>
          <w:lang w:val="uk-UA"/>
        </w:rPr>
        <w:t>На підставі отриманого висновку орган, що здійснює казначейське обслуговування бюджетних коштів, протягом п'яти робочих днів здійснює повернення помилково та/або надміру сплачених грошових зобов'язань платникам податків у порядку, встановленому центральним органом виконавчої влади, що забезпечує формування та реалізує державну податкову і митну політику.</w:t>
      </w:r>
    </w:p>
    <w:p w:rsidR="008D209D" w:rsidRPr="00C300CC" w:rsidRDefault="0011252C">
      <w:pPr>
        <w:pStyle w:val="a3"/>
        <w:jc w:val="both"/>
        <w:rPr>
          <w:lang w:val="uk-UA"/>
        </w:rPr>
      </w:pPr>
      <w:r w:rsidRPr="00C300CC">
        <w:rPr>
          <w:lang w:val="uk-UA"/>
        </w:rPr>
        <w:t xml:space="preserve">Відповідно до </w:t>
      </w:r>
      <w:r w:rsidRPr="00C300CC">
        <w:rPr>
          <w:color w:val="0000FF"/>
          <w:lang w:val="uk-UA"/>
        </w:rPr>
        <w:t xml:space="preserve">пп. 14.1.115 п. 14.1 ст. 14 </w:t>
      </w:r>
      <w:proofErr w:type="spellStart"/>
      <w:r w:rsidRPr="00C300CC">
        <w:rPr>
          <w:color w:val="0000FF"/>
          <w:lang w:val="uk-UA"/>
        </w:rPr>
        <w:t>ПКУ</w:t>
      </w:r>
      <w:proofErr w:type="spellEnd"/>
      <w:r w:rsidRPr="00C300CC">
        <w:rPr>
          <w:lang w:val="uk-UA"/>
        </w:rPr>
        <w:t xml:space="preserve"> надміру сплачені грошові зобов'язання - є суми коштів, які на певну дату зараховані до відповідного бюджету понад нараховані суми грошових зобов'язань, граничний строк сплати яких настав на таку дату.</w:t>
      </w:r>
    </w:p>
    <w:p w:rsidR="008D209D" w:rsidRPr="00C300CC" w:rsidRDefault="0011252C">
      <w:pPr>
        <w:pStyle w:val="a3"/>
        <w:jc w:val="both"/>
        <w:rPr>
          <w:lang w:val="uk-UA"/>
        </w:rPr>
      </w:pPr>
      <w:r w:rsidRPr="00C300CC">
        <w:rPr>
          <w:lang w:val="uk-UA"/>
        </w:rPr>
        <w:lastRenderedPageBreak/>
        <w:t>Враховуючи викладене вище, податковий агент має право повернути або врахувати в рахунок сплати наступних платежів тільки ту суму надміру сплаченого податку на доходи фізичних осіб, який був перерахований до бюджету понад суму грошових зобов'язань, граничний строк сплати якої настав на таку дату.</w:t>
      </w:r>
    </w:p>
    <w:p w:rsidR="008D209D" w:rsidRPr="00C300CC" w:rsidRDefault="0011252C">
      <w:pPr>
        <w:pStyle w:val="a3"/>
        <w:jc w:val="both"/>
        <w:rPr>
          <w:lang w:val="uk-UA"/>
        </w:rPr>
      </w:pPr>
      <w:r w:rsidRPr="00C300CC">
        <w:rPr>
          <w:lang w:val="uk-UA"/>
        </w:rPr>
        <w:t>При цьому, у разі наявності переплати, податковий агент має право не сплачувати податок на доходи фізичних осіб в межах такої переплати.</w:t>
      </w:r>
    </w:p>
    <w:p w:rsidR="008D209D" w:rsidRPr="00C300CC" w:rsidRDefault="0011252C">
      <w:pPr>
        <w:pStyle w:val="a3"/>
        <w:jc w:val="both"/>
        <w:rPr>
          <w:lang w:val="uk-UA"/>
        </w:rPr>
      </w:pPr>
      <w:r w:rsidRPr="00C300CC">
        <w:rPr>
          <w:lang w:val="uk-UA"/>
        </w:rPr>
        <w:t> </w:t>
      </w:r>
    </w:p>
    <w:p w:rsidR="008D209D" w:rsidRPr="00C300CC" w:rsidRDefault="0011252C">
      <w:pPr>
        <w:pStyle w:val="a3"/>
        <w:jc w:val="right"/>
        <w:rPr>
          <w:lang w:val="uk-UA"/>
        </w:rPr>
      </w:pPr>
      <w:r w:rsidRPr="00C300CC">
        <w:rPr>
          <w:b/>
          <w:bCs/>
          <w:i/>
          <w:iCs/>
          <w:lang w:val="uk-UA"/>
        </w:rPr>
        <w:t>Інформаційно-довідковий департамент Міністерства доходів і зборів України</w:t>
      </w:r>
    </w:p>
    <w:p w:rsidR="008D209D" w:rsidRPr="00C300CC" w:rsidRDefault="0011252C">
      <w:pPr>
        <w:pStyle w:val="a3"/>
        <w:jc w:val="right"/>
        <w:rPr>
          <w:lang w:val="uk-UA"/>
        </w:rPr>
      </w:pPr>
      <w:r w:rsidRPr="00C300CC">
        <w:rPr>
          <w:i/>
          <w:iCs/>
          <w:lang w:val="uk-UA"/>
        </w:rPr>
        <w:t xml:space="preserve">Відповіді на питання щодо оподаткування, </w:t>
      </w:r>
      <w:r w:rsidRPr="00C300CC">
        <w:rPr>
          <w:lang w:val="uk-UA"/>
        </w:rPr>
        <w:br/>
      </w:r>
      <w:r w:rsidRPr="00C300CC">
        <w:rPr>
          <w:i/>
          <w:iCs/>
          <w:lang w:val="uk-UA"/>
        </w:rPr>
        <w:t xml:space="preserve">митної справи та єдиного соціального внеску на </w:t>
      </w:r>
      <w:r w:rsidRPr="00C300CC">
        <w:rPr>
          <w:lang w:val="uk-UA"/>
        </w:rPr>
        <w:br/>
      </w:r>
      <w:r w:rsidRPr="00C300CC">
        <w:rPr>
          <w:i/>
          <w:iCs/>
          <w:lang w:val="uk-UA"/>
        </w:rPr>
        <w:t xml:space="preserve">загальнообов'язкове державне соціальне страхування </w:t>
      </w:r>
      <w:r w:rsidRPr="00C300CC">
        <w:rPr>
          <w:lang w:val="uk-UA"/>
        </w:rPr>
        <w:br/>
      </w:r>
      <w:r w:rsidRPr="00C300CC">
        <w:rPr>
          <w:i/>
          <w:iCs/>
          <w:lang w:val="uk-UA"/>
        </w:rPr>
        <w:t xml:space="preserve">можна отримати за телефоном 0-800-501-007 </w:t>
      </w:r>
      <w:r w:rsidRPr="00C300CC">
        <w:rPr>
          <w:lang w:val="uk-UA"/>
        </w:rPr>
        <w:br/>
      </w:r>
      <w:r w:rsidRPr="00C300CC">
        <w:rPr>
          <w:i/>
          <w:iCs/>
          <w:lang w:val="uk-UA"/>
        </w:rPr>
        <w:t>(безкоштовно зі стаціонарних телефонів)</w:t>
      </w:r>
    </w:p>
    <w:p w:rsidR="008D209D" w:rsidRPr="00C300CC" w:rsidRDefault="0011252C">
      <w:pPr>
        <w:pStyle w:val="a3"/>
        <w:jc w:val="right"/>
        <w:rPr>
          <w:lang w:val="uk-UA"/>
        </w:rPr>
      </w:pPr>
      <w:r w:rsidRPr="00C300CC">
        <w:rPr>
          <w:lang w:val="uk-UA"/>
        </w:rPr>
        <w:t> </w:t>
      </w:r>
    </w:p>
    <w:p w:rsidR="008D209D" w:rsidRPr="00C300CC" w:rsidRDefault="0011252C">
      <w:pPr>
        <w:pStyle w:val="a3"/>
        <w:jc w:val="right"/>
        <w:rPr>
          <w:color w:val="0000FF"/>
          <w:lang w:val="uk-UA"/>
        </w:rPr>
      </w:pPr>
      <w:r w:rsidRPr="00C300CC">
        <w:rPr>
          <w:b/>
          <w:bCs/>
          <w:lang w:val="uk-UA"/>
        </w:rPr>
        <w:t xml:space="preserve">Всеукраїнська мережа ЛІГА:ЗАКОН </w:t>
      </w:r>
      <w:r w:rsidRPr="00C300CC">
        <w:rPr>
          <w:lang w:val="uk-UA"/>
        </w:rPr>
        <w:br/>
      </w:r>
      <w:hyperlink r:id="rId5" w:history="1">
        <w:r w:rsidRPr="00C300CC">
          <w:rPr>
            <w:rStyle w:val="a4"/>
            <w:b/>
            <w:bCs/>
            <w:lang w:val="uk-UA"/>
          </w:rPr>
          <w:t>www.ligazakon.ua</w:t>
        </w:r>
      </w:hyperlink>
    </w:p>
    <w:p w:rsidR="008D209D" w:rsidRPr="00C300CC" w:rsidRDefault="0011252C">
      <w:pPr>
        <w:pStyle w:val="a3"/>
        <w:jc w:val="center"/>
        <w:rPr>
          <w:lang w:val="uk-UA"/>
        </w:rPr>
      </w:pPr>
      <w:r w:rsidRPr="00C300CC">
        <w:rPr>
          <w:lang w:val="uk-UA"/>
        </w:rPr>
        <w:t> </w:t>
      </w:r>
    </w:p>
    <w:p w:rsidR="008D209D" w:rsidRPr="00C300CC" w:rsidRDefault="0011252C">
      <w:pPr>
        <w:pStyle w:val="a3"/>
        <w:jc w:val="center"/>
        <w:rPr>
          <w:lang w:val="uk-UA"/>
        </w:rPr>
      </w:pPr>
      <w:r w:rsidRPr="00C300CC">
        <w:rPr>
          <w:lang w:val="uk-UA"/>
        </w:rPr>
        <w:t>____________</w:t>
      </w:r>
    </w:p>
    <w:p w:rsidR="008D209D" w:rsidRPr="00C300CC" w:rsidRDefault="0011252C">
      <w:pPr>
        <w:pStyle w:val="a3"/>
        <w:jc w:val="center"/>
        <w:rPr>
          <w:sz w:val="20"/>
          <w:szCs w:val="20"/>
          <w:lang w:val="uk-UA"/>
        </w:rPr>
      </w:pPr>
      <w:r w:rsidRPr="00C300CC">
        <w:rPr>
          <w:i/>
          <w:iCs/>
          <w:sz w:val="20"/>
          <w:szCs w:val="20"/>
          <w:lang w:val="uk-UA"/>
        </w:rPr>
        <w:t xml:space="preserve">Матеріали ресурсу "ЗІР" представлені у системах ЛІГА:ЗАКОН </w:t>
      </w:r>
      <w:r w:rsidRPr="00C300CC">
        <w:rPr>
          <w:sz w:val="20"/>
          <w:szCs w:val="20"/>
          <w:lang w:val="uk-UA"/>
        </w:rPr>
        <w:br/>
      </w:r>
      <w:r w:rsidRPr="00C300CC">
        <w:rPr>
          <w:i/>
          <w:iCs/>
          <w:sz w:val="20"/>
          <w:szCs w:val="20"/>
          <w:lang w:val="uk-UA"/>
        </w:rPr>
        <w:t>за погодженням з Міністерством доходів і зборів України (</w:t>
      </w:r>
      <w:proofErr w:type="spellStart"/>
      <w:r w:rsidRPr="00C300CC">
        <w:rPr>
          <w:i/>
          <w:iCs/>
          <w:sz w:val="20"/>
          <w:szCs w:val="20"/>
          <w:lang w:val="uk-UA"/>
        </w:rPr>
        <w:t>zir.minrd.gov.ua</w:t>
      </w:r>
      <w:proofErr w:type="spellEnd"/>
      <w:r w:rsidRPr="00C300CC">
        <w:rPr>
          <w:i/>
          <w:iCs/>
          <w:sz w:val="20"/>
          <w:szCs w:val="20"/>
          <w:lang w:val="uk-UA"/>
        </w:rPr>
        <w:t>)</w:t>
      </w:r>
    </w:p>
    <w:p w:rsidR="008D209D" w:rsidRPr="00C300CC" w:rsidRDefault="0011252C">
      <w:pPr>
        <w:pStyle w:val="a3"/>
        <w:jc w:val="center"/>
        <w:rPr>
          <w:lang w:val="uk-UA"/>
        </w:rPr>
      </w:pPr>
      <w:r w:rsidRPr="00C300CC">
        <w:rPr>
          <w:i/>
          <w:iCs/>
          <w:lang w:val="uk-UA"/>
        </w:rPr>
        <w:t> </w:t>
      </w:r>
    </w:p>
    <w:p w:rsidR="008D209D" w:rsidRPr="00C300CC" w:rsidRDefault="0011252C">
      <w:pPr>
        <w:pStyle w:val="a3"/>
        <w:jc w:val="center"/>
        <w:rPr>
          <w:sz w:val="20"/>
          <w:szCs w:val="20"/>
          <w:lang w:val="uk-UA"/>
        </w:rPr>
      </w:pPr>
      <w:r w:rsidRPr="00C300CC">
        <w:rPr>
          <w:i/>
          <w:iCs/>
          <w:sz w:val="20"/>
          <w:szCs w:val="20"/>
          <w:lang w:val="uk-UA"/>
        </w:rPr>
        <w:t xml:space="preserve">Матеріали, розміщені в системах інформаційно-правового забезпечення ЛІГА:ЗАКОН, </w:t>
      </w:r>
      <w:r w:rsidRPr="00C300CC">
        <w:rPr>
          <w:sz w:val="20"/>
          <w:szCs w:val="20"/>
          <w:lang w:val="uk-UA"/>
        </w:rPr>
        <w:br/>
      </w:r>
      <w:r w:rsidRPr="00C300CC">
        <w:rPr>
          <w:i/>
          <w:iCs/>
          <w:sz w:val="20"/>
          <w:szCs w:val="20"/>
          <w:lang w:val="uk-UA"/>
        </w:rPr>
        <w:t>не можуть бути використані в будь-яких інших електронних базах або друкованих виданнях.</w:t>
      </w:r>
    </w:p>
    <w:p w:rsidR="008D209D" w:rsidRPr="00C300CC" w:rsidRDefault="0011252C">
      <w:pPr>
        <w:pStyle w:val="a3"/>
        <w:jc w:val="both"/>
        <w:rPr>
          <w:lang w:val="uk-UA"/>
        </w:rPr>
      </w:pPr>
      <w:r w:rsidRPr="00C300CC">
        <w:rPr>
          <w:lang w:val="uk-UA"/>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30"/>
        <w:gridCol w:w="1215"/>
      </w:tblGrid>
      <w:tr w:rsidR="008D209D" w:rsidRPr="00C300CC">
        <w:trPr>
          <w:tblCellSpacing w:w="15" w:type="dxa"/>
        </w:trPr>
        <w:tc>
          <w:tcPr>
            <w:tcW w:w="4500" w:type="pct"/>
            <w:vAlign w:val="center"/>
            <w:hideMark/>
          </w:tcPr>
          <w:p w:rsidR="008D209D" w:rsidRPr="00C300CC" w:rsidRDefault="0011252C">
            <w:pPr>
              <w:rPr>
                <w:rFonts w:eastAsia="Times New Roman"/>
                <w:lang w:val="uk-UA"/>
              </w:rPr>
            </w:pPr>
            <w:r w:rsidRPr="00C300CC">
              <w:rPr>
                <w:rFonts w:eastAsia="Times New Roman"/>
                <w:lang w:val="uk-UA"/>
              </w:rPr>
              <w:t>© ТОВ "Інформаційно-аналітичний центр "ЛІГА", 2014</w:t>
            </w:r>
            <w:r w:rsidRPr="00C300CC">
              <w:rPr>
                <w:rFonts w:eastAsia="Times New Roman"/>
                <w:lang w:val="uk-UA"/>
              </w:rPr>
              <w:br/>
              <w:t>© ТОВ "ЛІГА ЗАКОН", 2014</w:t>
            </w:r>
          </w:p>
        </w:tc>
        <w:tc>
          <w:tcPr>
            <w:tcW w:w="500" w:type="pct"/>
            <w:vAlign w:val="center"/>
            <w:hideMark/>
          </w:tcPr>
          <w:p w:rsidR="008D209D" w:rsidRPr="00C300CC" w:rsidRDefault="0011252C">
            <w:pPr>
              <w:rPr>
                <w:rFonts w:eastAsia="Times New Roman"/>
                <w:lang w:val="uk-UA"/>
              </w:rPr>
            </w:pPr>
            <w:r w:rsidRPr="00C300CC">
              <w:rPr>
                <w:rFonts w:eastAsia="Times New Roman"/>
                <w:noProof/>
                <w:lang w:val="uk-UA" w:eastAsia="uk-UA"/>
              </w:rPr>
              <w:drawing>
                <wp:inline distT="0" distB="0" distL="0" distR="0" wp14:anchorId="41DA525E" wp14:editId="6F96AFB8">
                  <wp:extent cx="695325" cy="314325"/>
                  <wp:effectExtent l="19050" t="0" r="9525" b="0"/>
                  <wp:docPr id="1" name="Рисунок 1" descr="C:\Users\s.moskvin\AppData\Roaming\Liga70\Client\Session\LOGOTY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oskvin\AppData\Roaming\Liga70\Client\Session\LOGOTYPE.BMP"/>
                          <pic:cNvPicPr>
                            <a:picLocks noChangeAspect="1" noChangeArrowheads="1"/>
                          </pic:cNvPicPr>
                        </pic:nvPicPr>
                        <pic:blipFill>
                          <a:blip r:link="rId6" cstate="print"/>
                          <a:srcRect/>
                          <a:stretch>
                            <a:fillRect/>
                          </a:stretch>
                        </pic:blipFill>
                        <pic:spPr bwMode="auto">
                          <a:xfrm>
                            <a:off x="0" y="0"/>
                            <a:ext cx="695325" cy="314325"/>
                          </a:xfrm>
                          <a:prstGeom prst="rect">
                            <a:avLst/>
                          </a:prstGeom>
                          <a:noFill/>
                          <a:ln w="9525">
                            <a:noFill/>
                            <a:miter lim="800000"/>
                            <a:headEnd/>
                            <a:tailEnd/>
                          </a:ln>
                        </pic:spPr>
                      </pic:pic>
                    </a:graphicData>
                  </a:graphic>
                </wp:inline>
              </w:drawing>
            </w:r>
          </w:p>
        </w:tc>
      </w:tr>
      <w:bookmarkEnd w:id="0"/>
    </w:tbl>
    <w:p w:rsidR="008D209D" w:rsidRPr="00C300CC" w:rsidRDefault="008D209D">
      <w:pPr>
        <w:rPr>
          <w:rFonts w:eastAsia="Times New Roman"/>
          <w:lang w:val="uk-UA"/>
        </w:rPr>
      </w:pPr>
    </w:p>
    <w:sectPr w:rsidR="008D209D" w:rsidRPr="00C30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compatSetting w:name="compatibilityMode" w:uri="http://schemas.microsoft.com/office/word" w:val="12"/>
  </w:compat>
  <w:rsids>
    <w:rsidRoot w:val="00BC591B"/>
    <w:rsid w:val="0011252C"/>
    <w:rsid w:val="002A3B0D"/>
    <w:rsid w:val="008D209D"/>
    <w:rsid w:val="00BC591B"/>
    <w:rsid w:val="00C30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Balloon Text"/>
    <w:basedOn w:val="a"/>
    <w:link w:val="a7"/>
    <w:uiPriority w:val="99"/>
    <w:semiHidden/>
    <w:unhideWhenUsed/>
    <w:rsid w:val="002A3B0D"/>
    <w:rPr>
      <w:rFonts w:ascii="Tahoma" w:hAnsi="Tahoma" w:cs="Tahoma"/>
      <w:sz w:val="16"/>
      <w:szCs w:val="16"/>
    </w:rPr>
  </w:style>
  <w:style w:type="character" w:customStyle="1" w:styleId="a7">
    <w:name w:val="Текст выноски Знак"/>
    <w:basedOn w:val="a0"/>
    <w:link w:val="a6"/>
    <w:uiPriority w:val="99"/>
    <w:semiHidden/>
    <w:rsid w:val="002A3B0D"/>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C:\Users\s.moskvin\AppData\Roaming\Liga70\Client\Session\LOGOTYPE.BMP" TargetMode="External"/><Relationship Id="rId5" Type="http://schemas.openxmlformats.org/officeDocument/2006/relationships/hyperlink" Target="http://www.ligazakon.ua/?syst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2362</Words>
  <Characters>1347</Characters>
  <Application>Microsoft Office Word</Application>
  <DocSecurity>0</DocSecurity>
  <Lines>11</Lines>
  <Paragraphs>7</Paragraphs>
  <ScaleCrop>false</ScaleCrop>
  <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s.moskvin</dc:creator>
  <cp:lastModifiedBy>s.moskvin</cp:lastModifiedBy>
  <cp:revision>4</cp:revision>
  <dcterms:created xsi:type="dcterms:W3CDTF">2014-03-17T09:37:00Z</dcterms:created>
  <dcterms:modified xsi:type="dcterms:W3CDTF">2014-03-17T15:24:00Z</dcterms:modified>
</cp:coreProperties>
</file>