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3F70">
      <w:pPr>
        <w:pStyle w:val="a3"/>
        <w:jc w:val="center"/>
      </w:pPr>
      <w:r>
        <w:rPr>
          <w:noProof/>
        </w:rPr>
        <w:drawing>
          <wp:inline distT="0" distB="0" distL="0" distR="0">
            <wp:extent cx="666750" cy="914400"/>
            <wp:effectExtent l="19050" t="0" r="0" b="0"/>
            <wp:docPr id="1" name="Рисунок 1" descr="C:\Users\n.goncharuk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goncharuk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73F70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МІНІСТЕРСТВО ЮСТИЦІЇ УКРАЇНИ</w:t>
      </w:r>
    </w:p>
    <w:p w:rsidR="00000000" w:rsidRDefault="00A73F70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ЛИСТ</w:t>
      </w:r>
    </w:p>
    <w:p w:rsidR="00000000" w:rsidRDefault="00A73F70">
      <w:pPr>
        <w:pStyle w:val="a3"/>
        <w:jc w:val="center"/>
      </w:pPr>
      <w:r>
        <w:rPr>
          <w:b/>
          <w:bCs/>
        </w:rPr>
        <w:t>від 14.08.2014 р. N 6820-0-4-14/8.1</w:t>
      </w:r>
    </w:p>
    <w:p w:rsidR="00000000" w:rsidRDefault="00A73F70">
      <w:pPr>
        <w:pStyle w:val="a3"/>
        <w:jc w:val="both"/>
      </w:pPr>
      <w:r>
        <w:t xml:space="preserve">Міністерство юстиції розглянуло лист щодо застосування положень </w:t>
      </w:r>
      <w:r>
        <w:rPr>
          <w:color w:val="0000FF"/>
        </w:rPr>
        <w:t>Закону України від 15 квітня 2014 року N 1206-VII</w:t>
      </w:r>
      <w:r>
        <w:t xml:space="preserve"> </w:t>
      </w:r>
      <w:r>
        <w:t>стосовно запровадження відмови від обов'язковості та перехід до добровільності використання печаток суб'єктами господарювання приватного права та повідомляє.</w:t>
      </w:r>
    </w:p>
    <w:p w:rsidR="00000000" w:rsidRDefault="00A73F70">
      <w:pPr>
        <w:pStyle w:val="a3"/>
        <w:jc w:val="both"/>
      </w:pPr>
      <w:r>
        <w:rPr>
          <w:i/>
          <w:iCs/>
        </w:rPr>
        <w:t>Щодо питання "чи дійсно, якщо сторони прописали у договорі, що він обов'язково повинен скріплювати</w:t>
      </w:r>
      <w:r>
        <w:rPr>
          <w:i/>
          <w:iCs/>
        </w:rPr>
        <w:t>ся печатками, але договір печатками так і не скріпили, то визнати його недійсним буде не можна?"</w:t>
      </w:r>
    </w:p>
    <w:p w:rsidR="00000000" w:rsidRDefault="00A73F70">
      <w:pPr>
        <w:pStyle w:val="a3"/>
        <w:jc w:val="both"/>
      </w:pPr>
      <w:r>
        <w:rPr>
          <w:color w:val="0000FF"/>
        </w:rPr>
        <w:t>Законом України "Про внесення змін до деяких законодавчих актів України щодо спрощення порядку відкриття бізнесу"</w:t>
      </w:r>
      <w:r>
        <w:t xml:space="preserve"> (набирає чинності 30 жовтня 2014 року) внесен</w:t>
      </w:r>
      <w:r>
        <w:t>і зміни до низки кодексів та законів України, які спрямовані, зокрема, на запровадження відмови від обов'язковості та перехід до добровільності використання печаток суб'єктами господарювання приватного права.</w:t>
      </w:r>
    </w:p>
    <w:p w:rsidR="00000000" w:rsidRDefault="00A73F70">
      <w:pPr>
        <w:pStyle w:val="a3"/>
        <w:jc w:val="both"/>
      </w:pPr>
      <w:r>
        <w:t xml:space="preserve">Так, цим Законом </w:t>
      </w:r>
      <w:r>
        <w:rPr>
          <w:color w:val="0000FF"/>
        </w:rPr>
        <w:t>частину другу статті 207 Цивіл</w:t>
      </w:r>
      <w:r>
        <w:rPr>
          <w:color w:val="0000FF"/>
        </w:rPr>
        <w:t>ьного кодексу України</w:t>
      </w:r>
      <w:r>
        <w:t xml:space="preserve">, якою встановлені вимоги до письмової форми правочину, доповнено новим абзацом, згідно з яким </w:t>
      </w:r>
      <w:r>
        <w:rPr>
          <w:b/>
          <w:bCs/>
          <w:i/>
          <w:iCs/>
        </w:rPr>
        <w:t xml:space="preserve">обов'язковість скріплення правочину печаткою може бути визначена за письмовою домовленістю сторін </w:t>
      </w:r>
      <w:r>
        <w:t>(</w:t>
      </w:r>
      <w:r>
        <w:rPr>
          <w:color w:val="0000FF"/>
        </w:rPr>
        <w:t>підпункт 1 пункту 3 розділу I</w:t>
      </w:r>
      <w:r>
        <w:t>).</w:t>
      </w:r>
    </w:p>
    <w:p w:rsidR="00000000" w:rsidRDefault="00A73F70">
      <w:pPr>
        <w:pStyle w:val="a3"/>
        <w:jc w:val="both"/>
      </w:pPr>
      <w:r>
        <w:rPr>
          <w:color w:val="0000FF"/>
        </w:rPr>
        <w:t xml:space="preserve">Частиною </w:t>
      </w:r>
      <w:r>
        <w:rPr>
          <w:color w:val="0000FF"/>
        </w:rPr>
        <w:t>першою статті 638 Цивільного кодексу України</w:t>
      </w:r>
      <w:r>
        <w:t xml:space="preserve"> встановлено, що договір є укладеним, якщо сторони в належній формі досягли згоди з усіх істотних умов договору.</w:t>
      </w:r>
    </w:p>
    <w:p w:rsidR="00000000" w:rsidRDefault="00A73F70">
      <w:pPr>
        <w:pStyle w:val="a3"/>
        <w:jc w:val="both"/>
      </w:pPr>
      <w:r>
        <w:t xml:space="preserve">Якщо сторони домовилися укласти договір у певній формі, він вважається укладеним з моменту надання </w:t>
      </w:r>
      <w:r>
        <w:t>йому цієї форми, навіть якщо законом ця форма для даного виду договорів не вимагалася (</w:t>
      </w:r>
      <w:r>
        <w:rPr>
          <w:color w:val="0000FF"/>
        </w:rPr>
        <w:t>частина друга статті 639 Цивільного кодексу України</w:t>
      </w:r>
      <w:r>
        <w:t>).</w:t>
      </w:r>
    </w:p>
    <w:p w:rsidR="00000000" w:rsidRDefault="00A73F70">
      <w:pPr>
        <w:pStyle w:val="a3"/>
        <w:jc w:val="both"/>
      </w:pPr>
      <w:r>
        <w:t xml:space="preserve">При цьому слід зазначити, що порушення форми договору є двох видів: перше порушення є порушенням вимог закону щодо </w:t>
      </w:r>
      <w:r>
        <w:t xml:space="preserve">форми договору, друге порушення є порушенням домовленості сторін щодо форми договору. Звідси названі два види порушень можуть мати різні правові наслідки. Порушення вимог закону щодо його форми може тягнути правові наслідки </w:t>
      </w:r>
      <w:r>
        <w:rPr>
          <w:b/>
          <w:bCs/>
          <w:i/>
          <w:iCs/>
        </w:rPr>
        <w:t>недійсності договору</w:t>
      </w:r>
      <w:r>
        <w:rPr>
          <w:i/>
          <w:iCs/>
        </w:rPr>
        <w:t xml:space="preserve"> </w:t>
      </w:r>
      <w:r>
        <w:t>(наприклад,</w:t>
      </w:r>
      <w:r>
        <w:t xml:space="preserve"> недодержання вимоги закону про нотаріальне посвідчення договору - </w:t>
      </w:r>
      <w:r>
        <w:rPr>
          <w:color w:val="0000FF"/>
        </w:rPr>
        <w:t>стаття 220 Цивільного кодексу України</w:t>
      </w:r>
      <w:r>
        <w:t xml:space="preserve">), а порушення домовленості сторін щодо форми договору може тягнути визнання такого договору </w:t>
      </w:r>
      <w:r>
        <w:rPr>
          <w:b/>
          <w:bCs/>
          <w:i/>
          <w:iCs/>
        </w:rPr>
        <w:t>неукладеним</w:t>
      </w:r>
      <w:r>
        <w:rPr>
          <w:i/>
          <w:iCs/>
        </w:rPr>
        <w:t xml:space="preserve"> </w:t>
      </w:r>
      <w:r>
        <w:t xml:space="preserve">(наприклад, </w:t>
      </w:r>
      <w:r>
        <w:rPr>
          <w:b/>
          <w:bCs/>
          <w:i/>
          <w:iCs/>
        </w:rPr>
        <w:t>обрання сторонами для письмової фор</w:t>
      </w:r>
      <w:r>
        <w:rPr>
          <w:b/>
          <w:bCs/>
          <w:i/>
          <w:iCs/>
        </w:rPr>
        <w:t>ми правочину обов'язковість його скріплення печатками</w:t>
      </w:r>
      <w:r>
        <w:t>).</w:t>
      </w:r>
    </w:p>
    <w:p w:rsidR="00000000" w:rsidRDefault="00A73F70">
      <w:pPr>
        <w:pStyle w:val="a3"/>
        <w:jc w:val="both"/>
      </w:pPr>
      <w:r>
        <w:rPr>
          <w:i/>
          <w:iCs/>
        </w:rPr>
        <w:t xml:space="preserve">Щодо питання "якщо прийнятим до прийняття </w:t>
      </w:r>
      <w:r>
        <w:rPr>
          <w:i/>
          <w:iCs/>
          <w:color w:val="0000FF"/>
        </w:rPr>
        <w:t>Закону України від 15 квітня 2014 року N 1206-VII</w:t>
      </w:r>
      <w:r>
        <w:rPr>
          <w:i/>
          <w:iCs/>
        </w:rPr>
        <w:t xml:space="preserve"> підзаконним актом передбачено проставлення печатки, але норми цього Закону передбачають необов'язковість зас</w:t>
      </w:r>
      <w:r>
        <w:rPr>
          <w:i/>
          <w:iCs/>
        </w:rPr>
        <w:t>тосування печатки, то чи обов'язково застосовувати печатку у такому випадку?"</w:t>
      </w:r>
    </w:p>
    <w:p w:rsidR="00000000" w:rsidRDefault="00A73F70">
      <w:pPr>
        <w:pStyle w:val="a3"/>
        <w:jc w:val="both"/>
      </w:pPr>
      <w:r>
        <w:t xml:space="preserve">Дорученням Прем'єр-міністра України від 14 травня 2014 року N 16779/1/1-14 на виконання </w:t>
      </w:r>
      <w:r>
        <w:rPr>
          <w:color w:val="0000FF"/>
        </w:rPr>
        <w:t>Закону України "Про внесення змін до деяких законодавчих актів України щодо спрощення поря</w:t>
      </w:r>
      <w:r>
        <w:rPr>
          <w:color w:val="0000FF"/>
        </w:rPr>
        <w:t>дку відкриття бізнесу"</w:t>
      </w:r>
      <w:r>
        <w:t xml:space="preserve"> міністерствам та іншим центральним органам виконавчої влади доручено відповідно до компетенції привести власні акти у відповідність із зазначеним Законом, а також з питань, що потребують рішення Кабінету Міністрів України, підготуват</w:t>
      </w:r>
      <w:r>
        <w:t>и та подати проекти відповідних нормативно-правових актів.</w:t>
      </w:r>
    </w:p>
    <w:p w:rsidR="00000000" w:rsidRDefault="00A73F70">
      <w:pPr>
        <w:pStyle w:val="a3"/>
        <w:jc w:val="both"/>
      </w:pPr>
      <w:r>
        <w:rPr>
          <w:i/>
          <w:iCs/>
        </w:rPr>
        <w:t>Щодо питання "чи дійсно порядок знищення печаток не встановлений, тому суб'єкт господарювання може визначити його на власний розсуд?"</w:t>
      </w:r>
    </w:p>
    <w:p w:rsidR="00000000" w:rsidRDefault="00A73F70">
      <w:pPr>
        <w:pStyle w:val="a3"/>
        <w:jc w:val="both"/>
      </w:pPr>
      <w:r>
        <w:t xml:space="preserve">29 грудня 2010 року Кабінетом Міністрів України прийнято </w:t>
      </w:r>
      <w:r>
        <w:rPr>
          <w:color w:val="0000FF"/>
        </w:rPr>
        <w:t>постан</w:t>
      </w:r>
      <w:r>
        <w:rPr>
          <w:color w:val="0000FF"/>
        </w:rPr>
        <w:t>ову N 1216 "Про внесення змін до Положення про дозвільну систему"</w:t>
      </w:r>
      <w:r>
        <w:t>, якою із переліку предметів, матеріалів і речовин, підприємств, майстерень і лабораторій, на які поширюється дозвільна система, вилучено штемпельно-граверні майстерні, печатки і штампи.</w:t>
      </w:r>
    </w:p>
    <w:p w:rsidR="00000000" w:rsidRDefault="00A73F70">
      <w:pPr>
        <w:pStyle w:val="a3"/>
        <w:jc w:val="both"/>
      </w:pPr>
      <w:r>
        <w:t>Тобт</w:t>
      </w:r>
      <w:r>
        <w:t xml:space="preserve">о </w:t>
      </w:r>
      <w:r>
        <w:rPr>
          <w:color w:val="0000FF"/>
        </w:rPr>
        <w:t>вказаним рішенням</w:t>
      </w:r>
      <w:r>
        <w:t xml:space="preserve"> Уряду було вилучено норми стосовно функції Міністерства внутрішніх справ України щодо нормативно-правового регулювання правил відкриття та функціонування штемпельно-граверних майстерень, виготовлення печаток і штампів, оформлення замовл</w:t>
      </w:r>
      <w:r>
        <w:t>ень на виготовлення печаток і штампів.</w:t>
      </w:r>
    </w:p>
    <w:p w:rsidR="00000000" w:rsidRDefault="00A73F70">
      <w:pPr>
        <w:pStyle w:val="a3"/>
        <w:jc w:val="both"/>
      </w:pPr>
      <w:r>
        <w:t xml:space="preserve">У зв'язку з цим </w:t>
      </w:r>
      <w:r>
        <w:rPr>
          <w:color w:val="0000FF"/>
        </w:rPr>
        <w:t>наказом Міністерства внутрішніх справ України від 11 січня 2011 року N 5</w:t>
      </w:r>
      <w:r>
        <w:t xml:space="preserve"> визнано таким, що втратив чинність, </w:t>
      </w:r>
      <w:r>
        <w:rPr>
          <w:color w:val="0000FF"/>
        </w:rPr>
        <w:t>наказ Міністерства внутрішніх справ України від 11 січня 1999 року N 17 "Про затвердження Ін</w:t>
      </w:r>
      <w:r>
        <w:rPr>
          <w:color w:val="0000FF"/>
        </w:rPr>
        <w:t>струкції про порядок видачі міністерствам та іншим центральним органам виконавчої влади, підприємствам, установам, організаціям, господарським об'єднанням та громадянам дозволів на право відкриття та функціонування штемпельно-граверних майстерень, виготовл</w:t>
      </w:r>
      <w:r>
        <w:rPr>
          <w:color w:val="0000FF"/>
        </w:rPr>
        <w:t>ення печаток і штампів, а також порядок видачі дозволів на оформлення замовлень на виготовлення печаток і штампів, та затвердження Умов і правил провадження діяльності з відкриття та функціонування штемпельно-граверних майстерень, виготовлення печаток і шт</w:t>
      </w:r>
      <w:r>
        <w:rPr>
          <w:color w:val="0000FF"/>
        </w:rPr>
        <w:t>ампів"</w:t>
      </w:r>
      <w:r>
        <w:t xml:space="preserve"> (зареєстровано в Міністерстві юстиції України 28 квітня 1999 року за N 264/3557).</w:t>
      </w:r>
    </w:p>
    <w:p w:rsidR="00000000" w:rsidRDefault="00A73F70">
      <w:pPr>
        <w:pStyle w:val="a3"/>
        <w:jc w:val="both"/>
      </w:pPr>
      <w:r>
        <w:t xml:space="preserve">З огляду на викладене, а також те, що підприємство самостійно визначає порядок організації своєї діяльності, при вирішенні питання подальшого використання печаток, на </w:t>
      </w:r>
      <w:r>
        <w:t xml:space="preserve">нашу думку, слід керуватися статутом, що є основним документом, який регулює діяльність юридичної особи, а також </w:t>
      </w:r>
      <w:r>
        <w:rPr>
          <w:b/>
          <w:bCs/>
          <w:i/>
          <w:iCs/>
        </w:rPr>
        <w:t>внутрішніми документами юридичної особи</w:t>
      </w:r>
      <w:r>
        <w:t>, що відповідно до компетенції прийняті органами управління юридичної особи.</w:t>
      </w:r>
    </w:p>
    <w:p w:rsidR="00000000" w:rsidRDefault="00A73F70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93"/>
        <w:gridCol w:w="4894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A73F70">
            <w:pPr>
              <w:pStyle w:val="a3"/>
              <w:jc w:val="center"/>
            </w:pPr>
            <w:r>
              <w:rPr>
                <w:b/>
                <w:bCs/>
              </w:rPr>
              <w:t>Заступник Міністра -</w:t>
            </w:r>
            <w:r>
              <w:br/>
            </w:r>
            <w:r>
              <w:rPr>
                <w:b/>
                <w:bCs/>
              </w:rPr>
              <w:t>керівник апарату</w:t>
            </w:r>
          </w:p>
        </w:tc>
        <w:tc>
          <w:tcPr>
            <w:tcW w:w="2500" w:type="pct"/>
            <w:vAlign w:val="bottom"/>
            <w:hideMark/>
          </w:tcPr>
          <w:p w:rsidR="00000000" w:rsidRDefault="00A73F70">
            <w:pPr>
              <w:pStyle w:val="a3"/>
              <w:jc w:val="center"/>
            </w:pPr>
            <w:r>
              <w:rPr>
                <w:b/>
                <w:bCs/>
              </w:rPr>
              <w:t>І. Алексєєв</w:t>
            </w:r>
          </w:p>
        </w:tc>
      </w:tr>
    </w:tbl>
    <w:p w:rsidR="00000000" w:rsidRDefault="00A73F70">
      <w:pPr>
        <w:pStyle w:val="a3"/>
        <w:jc w:val="both"/>
      </w:pPr>
      <w:r>
        <w:br w:type="textWrapping" w:clear="all"/>
      </w:r>
    </w:p>
    <w:p w:rsidR="00000000" w:rsidRDefault="00A73F70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4"/>
        <w:gridCol w:w="121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A73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ТОВ "Інформаційно-аналітичний центр "ЛІГА", 2014</w:t>
            </w:r>
            <w:r>
              <w:rPr>
                <w:rFonts w:eastAsia="Times New Roman"/>
              </w:rPr>
              <w:br/>
              <w:t>© ТОВ "ЛІГА ЗАКОН", 2014</w:t>
            </w:r>
          </w:p>
        </w:tc>
        <w:tc>
          <w:tcPr>
            <w:tcW w:w="500" w:type="pct"/>
            <w:vAlign w:val="center"/>
            <w:hideMark/>
          </w:tcPr>
          <w:p w:rsidR="00000000" w:rsidRDefault="00A73F7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19050" t="0" r="9525" b="0"/>
                  <wp:docPr id="2" name="Рисунок 2" descr="C:\Users\n.goncharuk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.goncharuk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F70" w:rsidRDefault="00A73F70">
      <w:pPr>
        <w:rPr>
          <w:rFonts w:eastAsia="Times New Roman"/>
        </w:rPr>
      </w:pPr>
    </w:p>
    <w:sectPr w:rsidR="00A73F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hyphenationZone w:val="425"/>
  <w:noPunctuationKerning/>
  <w:characterSpacingControl w:val="doNotCompress"/>
  <w:compat/>
  <w:rsids>
    <w:rsidRoot w:val="00E75098"/>
    <w:rsid w:val="000E66D2"/>
    <w:rsid w:val="00A73F70"/>
    <w:rsid w:val="00E7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E66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6D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n.goncharuk\AppData\Roaming\Liga70\Client\Session\LOGOTYPE.BMP" TargetMode="External"/><Relationship Id="rId4" Type="http://schemas.openxmlformats.org/officeDocument/2006/relationships/image" Target="file:///C:\Users\n.goncharuk\AppData\Roaming\Liga70\Client\Session\TSIG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3286</Words>
  <Characters>1874</Characters>
  <Application>Microsoft Office Word</Application>
  <DocSecurity>0</DocSecurity>
  <Lines>15</Lines>
  <Paragraphs>10</Paragraphs>
  <ScaleCrop>false</ScaleCrop>
  <Company>Grizli777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 Наталья</dc:creator>
  <cp:lastModifiedBy>Гончарук Наталья</cp:lastModifiedBy>
  <cp:revision>2</cp:revision>
  <dcterms:created xsi:type="dcterms:W3CDTF">2014-11-05T11:52:00Z</dcterms:created>
  <dcterms:modified xsi:type="dcterms:W3CDTF">2014-11-05T11:52:00Z</dcterms:modified>
</cp:coreProperties>
</file>