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81A96">
      <w:pPr>
        <w:pStyle w:val="a3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66750" cy="914400"/>
            <wp:effectExtent l="0" t="0" r="0" b="0"/>
            <wp:docPr id="1" name="Рисунок 1" descr="C:\Users\e.lapshova\AppData\Roaming\Liga70\Client\Session\TSIG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lapshova\AppData\Roaming\Liga70\Client\Session\TSIGN.GIF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81A96">
      <w:pPr>
        <w:pStyle w:val="a3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НАЦІОНАЛЬНИЙ БАНК УКРАЇНИ</w:t>
      </w:r>
    </w:p>
    <w:p w:rsidR="00000000" w:rsidRDefault="00281A96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ЛИСТ</w:t>
      </w:r>
    </w:p>
    <w:p w:rsidR="00000000" w:rsidRDefault="00281A96">
      <w:pPr>
        <w:pStyle w:val="a3"/>
        <w:jc w:val="center"/>
      </w:pPr>
      <w:r>
        <w:rPr>
          <w:b/>
          <w:bCs/>
        </w:rPr>
        <w:t>від 16.10.2013 р. N 29-209/17998</w:t>
      </w:r>
    </w:p>
    <w:tbl>
      <w:tblPr>
        <w:tblW w:w="4500" w:type="pct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  <w:gridCol w:w="4404"/>
      </w:tblGrid>
      <w:tr w:rsidR="00000000">
        <w:trPr>
          <w:tblCellSpacing w:w="22" w:type="dxa"/>
          <w:jc w:val="center"/>
        </w:trPr>
        <w:tc>
          <w:tcPr>
            <w:tcW w:w="2500" w:type="pct"/>
            <w:hideMark/>
          </w:tcPr>
          <w:p w:rsidR="00000000" w:rsidRDefault="00281A96">
            <w:pPr>
              <w:pStyle w:val="a3"/>
            </w:pPr>
            <w:r>
              <w:t>Генеральний департамент грошово-кредитної політики</w:t>
            </w:r>
          </w:p>
        </w:tc>
        <w:tc>
          <w:tcPr>
            <w:tcW w:w="2500" w:type="pct"/>
            <w:hideMark/>
          </w:tcPr>
          <w:p w:rsidR="00000000" w:rsidRDefault="00281A96">
            <w:pPr>
              <w:pStyle w:val="a3"/>
            </w:pPr>
            <w:r>
              <w:t>Територіальним управлінням Національного банку України, банкам України, Асоціації українських банків, Асоціації "Український кредитно-банківський союз", Незалежній асоціації банків України</w:t>
            </w:r>
          </w:p>
        </w:tc>
      </w:tr>
    </w:tbl>
    <w:p w:rsidR="00000000" w:rsidRDefault="00281A96">
      <w:pPr>
        <w:pStyle w:val="a3"/>
        <w:jc w:val="center"/>
      </w:pPr>
      <w:r>
        <w:br w:type="textWrapping" w:clear="all"/>
      </w:r>
    </w:p>
    <w:p w:rsidR="00000000" w:rsidRDefault="00281A96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Роз'яснення щодо практичного застосування окремих вимог нормативн</w:t>
      </w:r>
      <w:r>
        <w:rPr>
          <w:rFonts w:eastAsia="Times New Roman"/>
        </w:rPr>
        <w:t>о-правового акта Національного банку України</w:t>
      </w:r>
    </w:p>
    <w:p w:rsidR="00000000" w:rsidRDefault="00281A96">
      <w:pPr>
        <w:pStyle w:val="a3"/>
        <w:jc w:val="both"/>
      </w:pPr>
      <w:r>
        <w:t xml:space="preserve">У зв'язку із запитами банків щодо практичного застосування окремих вимог </w:t>
      </w:r>
      <w:r>
        <w:rPr>
          <w:color w:val="0000FF"/>
        </w:rPr>
        <w:t>постанови Правління Національного банку України від 16.09.2013 N 365 "Про порядок надходження коштів в іноземній валюті на поточні рахунки</w:t>
      </w:r>
      <w:r>
        <w:rPr>
          <w:color w:val="0000FF"/>
        </w:rPr>
        <w:t xml:space="preserve"> фізичних осіб в межах України"</w:t>
      </w:r>
      <w:r>
        <w:rPr>
          <w:vertAlign w:val="superscript"/>
        </w:rPr>
        <w:t>1</w:t>
      </w:r>
      <w:r>
        <w:t xml:space="preserve"> (далі - Постанова N 365) Національний банк України надає такі роз'яснення.</w:t>
      </w:r>
    </w:p>
    <w:p w:rsidR="00000000" w:rsidRDefault="00281A96">
      <w:pPr>
        <w:pStyle w:val="a3"/>
        <w:jc w:val="both"/>
        <w:rPr>
          <w:sz w:val="20"/>
          <w:szCs w:val="20"/>
        </w:rPr>
      </w:pPr>
      <w:r>
        <w:t>____________</w:t>
      </w:r>
      <w:r>
        <w:br/>
      </w:r>
      <w:r>
        <w:rPr>
          <w:vertAlign w:val="superscript"/>
        </w:rPr>
        <w:t>1</w:t>
      </w:r>
      <w:r>
        <w:t xml:space="preserve"> </w:t>
      </w:r>
      <w:r>
        <w:rPr>
          <w:sz w:val="20"/>
          <w:szCs w:val="20"/>
        </w:rPr>
        <w:t>Зареєстрована в Міністерстві юстиції України 16.09.2013 за N 1592/24124.</w:t>
      </w:r>
    </w:p>
    <w:p w:rsidR="00000000" w:rsidRDefault="00281A96">
      <w:pPr>
        <w:pStyle w:val="3"/>
        <w:jc w:val="both"/>
        <w:rPr>
          <w:rFonts w:eastAsia="Times New Roman"/>
        </w:rPr>
      </w:pPr>
      <w:r>
        <w:rPr>
          <w:rFonts w:eastAsia="Times New Roman"/>
        </w:rPr>
        <w:t>1. Про можливість зарахування коштів в іноземній валюті на п</w:t>
      </w:r>
      <w:r>
        <w:rPr>
          <w:rFonts w:eastAsia="Times New Roman"/>
        </w:rPr>
        <w:t>оточні рахунки працівників іноземних представництв в іноземній валюті в межах України</w:t>
      </w:r>
    </w:p>
    <w:p w:rsidR="00000000" w:rsidRDefault="00281A96">
      <w:pPr>
        <w:pStyle w:val="a3"/>
        <w:jc w:val="both"/>
      </w:pPr>
      <w:r>
        <w:t>Відповідно до норм міжнародного права та сучасної міжнародної практики співробітники дипломатичних представництв, консульських установ іноземних держав в Україні та предс</w:t>
      </w:r>
      <w:r>
        <w:t>тавництв міжнародних організацій на території України наділені низкою привілеїв та імунітетів.</w:t>
      </w:r>
    </w:p>
    <w:p w:rsidR="00000000" w:rsidRDefault="00281A96">
      <w:pPr>
        <w:pStyle w:val="a3"/>
        <w:jc w:val="both"/>
      </w:pPr>
      <w:r>
        <w:t>Разом з цим чинні міжнародні договори України підлягають сумлінному дотриманню Україною відповідно до норм міжнародного права (</w:t>
      </w:r>
      <w:r>
        <w:rPr>
          <w:color w:val="0000FF"/>
        </w:rPr>
        <w:t>стаття 15 Закону України "Про міжн</w:t>
      </w:r>
      <w:r>
        <w:rPr>
          <w:color w:val="0000FF"/>
        </w:rPr>
        <w:t>ародні договори України"</w:t>
      </w:r>
      <w:r>
        <w:t>).</w:t>
      </w:r>
    </w:p>
    <w:p w:rsidR="00000000" w:rsidRDefault="00281A96">
      <w:pPr>
        <w:pStyle w:val="a3"/>
        <w:jc w:val="both"/>
      </w:pPr>
      <w:r>
        <w:t>При цьому належність до осіб, які користуються привілеями та імунітетами згідно із законодавством України та міжнародними договорами України, посвідчується документами, що видаються Міністерством закордонних справ України (далі -</w:t>
      </w:r>
      <w:r>
        <w:t xml:space="preserve"> МЗС України) у порядку, визначеному </w:t>
      </w:r>
      <w:r>
        <w:rPr>
          <w:color w:val="0000FF"/>
        </w:rPr>
        <w:t xml:space="preserve">Положенням про акредитацію співробітників дипломатичних і консульських </w:t>
      </w:r>
      <w:r>
        <w:rPr>
          <w:color w:val="0000FF"/>
        </w:rPr>
        <w:lastRenderedPageBreak/>
        <w:t>установ іноземних держав, міжнародних організацій та їхніх представництв, інших іноземних організацій</w:t>
      </w:r>
      <w:r>
        <w:rPr>
          <w:vertAlign w:val="superscript"/>
        </w:rPr>
        <w:t>2</w:t>
      </w:r>
      <w:r>
        <w:t>.</w:t>
      </w:r>
    </w:p>
    <w:p w:rsidR="00000000" w:rsidRDefault="00281A96">
      <w:pPr>
        <w:pStyle w:val="a3"/>
        <w:jc w:val="both"/>
        <w:rPr>
          <w:sz w:val="20"/>
          <w:szCs w:val="20"/>
        </w:rPr>
      </w:pPr>
      <w:r>
        <w:t>____________</w:t>
      </w:r>
      <w:r>
        <w:br/>
      </w:r>
      <w:r>
        <w:rPr>
          <w:vertAlign w:val="superscript"/>
        </w:rPr>
        <w:t>2</w:t>
      </w:r>
      <w:r>
        <w:t xml:space="preserve"> </w:t>
      </w:r>
      <w:r>
        <w:rPr>
          <w:sz w:val="20"/>
          <w:szCs w:val="20"/>
        </w:rPr>
        <w:t xml:space="preserve">Затверджене </w:t>
      </w:r>
      <w:r>
        <w:rPr>
          <w:color w:val="0000FF"/>
          <w:sz w:val="20"/>
          <w:szCs w:val="20"/>
        </w:rPr>
        <w:t>наказом Міністерс</w:t>
      </w:r>
      <w:r>
        <w:rPr>
          <w:color w:val="0000FF"/>
          <w:sz w:val="20"/>
          <w:szCs w:val="20"/>
        </w:rPr>
        <w:t>тва закордонних справ України від 13.01.2003 N 11</w:t>
      </w:r>
      <w:r>
        <w:rPr>
          <w:sz w:val="20"/>
          <w:szCs w:val="20"/>
        </w:rPr>
        <w:t xml:space="preserve"> та зареєстроване в Міністерстві юстиції України 28.01.2003 за N 62/7383.</w:t>
      </w:r>
    </w:p>
    <w:p w:rsidR="00000000" w:rsidRDefault="00281A96">
      <w:pPr>
        <w:pStyle w:val="a3"/>
        <w:jc w:val="both"/>
      </w:pPr>
      <w:r>
        <w:t xml:space="preserve">Враховуючи вищевикладене, зазначаємо, що вимоги </w:t>
      </w:r>
      <w:r>
        <w:rPr>
          <w:color w:val="0000FF"/>
        </w:rPr>
        <w:t>Постанови N 365</w:t>
      </w:r>
      <w:r>
        <w:t>, яка встановила новий порядок надходження коштів в іноземній валюті н</w:t>
      </w:r>
      <w:r>
        <w:t>а поточні рахунки фізичних осіб в межах України, не поширюються на операції з розрахунків дипломатичних представництв, консульських установ іноземних держав в Україні та представництв міжнародних організацій на території України з власними співробітниками,</w:t>
      </w:r>
      <w:r>
        <w:t xml:space="preserve"> якщо останні не є громадянами України або не проживають в ній постійно та акредитовані в МЗС України.</w:t>
      </w:r>
    </w:p>
    <w:p w:rsidR="00000000" w:rsidRDefault="00281A96">
      <w:pPr>
        <w:pStyle w:val="3"/>
        <w:jc w:val="both"/>
        <w:rPr>
          <w:rFonts w:eastAsia="Times New Roman"/>
        </w:rPr>
      </w:pPr>
      <w:r>
        <w:rPr>
          <w:rFonts w:eastAsia="Times New Roman"/>
        </w:rPr>
        <w:t>2. Про можливість зарахування коштів в іноземній валюті на поточний рахунок фізичної особи (резидента або нерезидента) в іноземній валюті за договором да</w:t>
      </w:r>
      <w:r>
        <w:rPr>
          <w:rFonts w:eastAsia="Times New Roman"/>
        </w:rPr>
        <w:t>рування валютних цінностей</w:t>
      </w:r>
    </w:p>
    <w:p w:rsidR="00000000" w:rsidRDefault="00281A96">
      <w:pPr>
        <w:pStyle w:val="a3"/>
        <w:jc w:val="both"/>
      </w:pPr>
      <w:r>
        <w:t>Зарахування надходжень в іноземній валюті в межах України на поточний рахунок фізичної особи (резидента або нерезидента) в іноземній валюті здійснюється лише за договором дарування валютних цінностей, посвідченим нотаріально.</w:t>
      </w:r>
    </w:p>
    <w:p w:rsidR="00000000" w:rsidRDefault="00281A96">
      <w:pPr>
        <w:pStyle w:val="3"/>
        <w:jc w:val="both"/>
        <w:rPr>
          <w:rFonts w:eastAsia="Times New Roman"/>
        </w:rPr>
      </w:pPr>
      <w:r>
        <w:rPr>
          <w:rFonts w:eastAsia="Times New Roman"/>
        </w:rPr>
        <w:t xml:space="preserve">3. Про виконання вимог </w:t>
      </w:r>
      <w:r>
        <w:rPr>
          <w:rFonts w:eastAsia="Times New Roman"/>
          <w:color w:val="0000FF"/>
        </w:rPr>
        <w:t>пункту 2 Постанови N 365</w:t>
      </w:r>
      <w:r>
        <w:rPr>
          <w:rFonts w:eastAsia="Times New Roman"/>
        </w:rPr>
        <w:t xml:space="preserve"> в частині зарахування гривневого еквівалента від продажу іноземної валюти, що була переказана на поточний рахунок фізичної особи (резидента або нерезидента) в іноземній валюті в межах України, у разі відсутно</w:t>
      </w:r>
      <w:r>
        <w:rPr>
          <w:rFonts w:eastAsia="Times New Roman"/>
        </w:rPr>
        <w:t>сті у цієї фізичної особи відкритого поточного рахунку у національній валют</w:t>
      </w:r>
    </w:p>
    <w:p w:rsidR="00000000" w:rsidRDefault="00281A96">
      <w:pPr>
        <w:pStyle w:val="a3"/>
        <w:jc w:val="both"/>
      </w:pPr>
      <w:r>
        <w:t>Якщо фізична особа - отримувач переказу має в уповноваженому банку рахунок в іноземній валюті і була ідентифікована банком, то уповноважений банк для здійснення зарахування гривнев</w:t>
      </w:r>
      <w:r>
        <w:t>ого еквівалента від продажу надходжень в іноземній валюті відкриває такій фізичній особі поточний рахунок у національній валюті. Укладання договору банківського рахунку в гривнях здійснюється під час першого звернення такої особи до банку.</w:t>
      </w:r>
    </w:p>
    <w:p w:rsidR="00000000" w:rsidRDefault="00281A96">
      <w:pPr>
        <w:pStyle w:val="a3"/>
        <w:jc w:val="both"/>
      </w:pPr>
      <w:r>
        <w:t>Якщо фізична осо</w:t>
      </w:r>
      <w:r>
        <w:t>ба - отримувач переказу не має в цьому банку рахунків і не була ідентифікована банком, то уповноважений банк зараховує гривневий еквівалент від продажу надходжень в іноземній валюті такій фізичній особі на окремий аналітичний рахунок балансового рахунку 29</w:t>
      </w:r>
      <w:r>
        <w:t>09 "Інша кредиторська заборгованість за операціями з клієнтами банку" до часу звернення фізичної особи до банку для відкриття поточного рахунку в гривнях.</w:t>
      </w:r>
    </w:p>
    <w:p w:rsidR="00000000" w:rsidRDefault="00281A96">
      <w:pPr>
        <w:pStyle w:val="3"/>
        <w:jc w:val="both"/>
        <w:rPr>
          <w:rFonts w:eastAsia="Times New Roman"/>
        </w:rPr>
      </w:pPr>
      <w:r>
        <w:rPr>
          <w:rFonts w:eastAsia="Times New Roman"/>
        </w:rPr>
        <w:t>4. Про строки здійснення переказу коштів в іноземній валюті в межах України</w:t>
      </w:r>
    </w:p>
    <w:p w:rsidR="00000000" w:rsidRDefault="00281A96">
      <w:pPr>
        <w:pStyle w:val="a3"/>
        <w:jc w:val="both"/>
      </w:pPr>
      <w:r>
        <w:t>Строки проведення переказ</w:t>
      </w:r>
      <w:r>
        <w:t xml:space="preserve">у визначені </w:t>
      </w:r>
      <w:r>
        <w:rPr>
          <w:color w:val="0000FF"/>
        </w:rPr>
        <w:t>статтею 8 Закону України "Про платіжні системи та переказ коштів в Україні"</w:t>
      </w:r>
      <w:r>
        <w:t xml:space="preserve"> (далі - Закон).</w:t>
      </w:r>
    </w:p>
    <w:p w:rsidR="00000000" w:rsidRDefault="00281A96">
      <w:pPr>
        <w:pStyle w:val="a3"/>
        <w:jc w:val="both"/>
      </w:pPr>
      <w:r>
        <w:t xml:space="preserve">Відповідно до </w:t>
      </w:r>
      <w:r>
        <w:rPr>
          <w:color w:val="0000FF"/>
        </w:rPr>
        <w:t>пункту 8.4 статті 8 Закону</w:t>
      </w:r>
      <w:r>
        <w:t xml:space="preserve"> міжбанківський переказ виконується в строк до трьох операційних днів. Внутрішньобанківський переказ виконується</w:t>
      </w:r>
      <w:r>
        <w:t xml:space="preserve"> в строк, встановлений внутрішніми нормативними актами банку, але не може перевищувати двох операційних днів.</w:t>
      </w:r>
    </w:p>
    <w:p w:rsidR="00000000" w:rsidRDefault="00281A96">
      <w:pPr>
        <w:pStyle w:val="a3"/>
        <w:jc w:val="both"/>
      </w:pPr>
      <w:r>
        <w:lastRenderedPageBreak/>
        <w:t>Таким чином, ініціювання переказу в іноземній валюті в межах України, продаж цієї іноземної валюти за гривню та подальше зарахування гривневого ек</w:t>
      </w:r>
      <w:r>
        <w:t xml:space="preserve">вівалента на поточний рахунок отримувача переказу здійснюється з урахуванням вимог </w:t>
      </w:r>
      <w:r>
        <w:rPr>
          <w:color w:val="0000FF"/>
        </w:rPr>
        <w:t>статті 8 Закону</w:t>
      </w:r>
      <w:r>
        <w:t>.</w:t>
      </w:r>
    </w:p>
    <w:p w:rsidR="00000000" w:rsidRDefault="00281A96">
      <w:pPr>
        <w:pStyle w:val="3"/>
        <w:jc w:val="both"/>
        <w:rPr>
          <w:rFonts w:eastAsia="Times New Roman"/>
        </w:rPr>
      </w:pPr>
      <w:r>
        <w:rPr>
          <w:rFonts w:eastAsia="Times New Roman"/>
        </w:rPr>
        <w:t>5. Про можливість поповнення готівковою іноземною валютою поточного рахунку фізичної особи (резидента або нерезидента) в іноземній валюті довіреною особою</w:t>
      </w:r>
    </w:p>
    <w:p w:rsidR="00000000" w:rsidRDefault="00281A96">
      <w:pPr>
        <w:pStyle w:val="a3"/>
        <w:jc w:val="both"/>
      </w:pPr>
      <w:r>
        <w:t>В</w:t>
      </w:r>
      <w:r>
        <w:t xml:space="preserve">ідповідно до </w:t>
      </w:r>
      <w:r>
        <w:rPr>
          <w:color w:val="0000FF"/>
        </w:rPr>
        <w:t>статті 239 Цивільного кодексу України</w:t>
      </w:r>
      <w:r>
        <w:t xml:space="preserve"> правочин, вчинений представником, створює, змінює, припиняє цивільні права та обов'язки особи, яку він представляє.</w:t>
      </w:r>
    </w:p>
    <w:p w:rsidR="00000000" w:rsidRDefault="00281A96">
      <w:pPr>
        <w:pStyle w:val="a3"/>
        <w:jc w:val="both"/>
      </w:pPr>
      <w:r>
        <w:t>Отже, представник за довіреністю, яка посвідчена нотаріально, має право вносити готівкову</w:t>
      </w:r>
      <w:r>
        <w:t xml:space="preserve"> іноземну валюту на поточний рахунок в іноземній валюті фізичної особи (резидента або нерезидента), яку він представляє.</w:t>
      </w:r>
    </w:p>
    <w:p w:rsidR="00000000" w:rsidRDefault="00281A96">
      <w:pPr>
        <w:pStyle w:val="a3"/>
        <w:jc w:val="both"/>
      </w:pPr>
      <w: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93"/>
        <w:gridCol w:w="4894"/>
      </w:tblGrid>
      <w:tr w:rsidR="00000000">
        <w:trPr>
          <w:tblCellSpacing w:w="22" w:type="dxa"/>
        </w:trPr>
        <w:tc>
          <w:tcPr>
            <w:tcW w:w="2500" w:type="pct"/>
            <w:hideMark/>
          </w:tcPr>
          <w:p w:rsidR="00000000" w:rsidRDefault="00281A96">
            <w:pPr>
              <w:pStyle w:val="a3"/>
              <w:jc w:val="center"/>
            </w:pPr>
            <w:r>
              <w:rPr>
                <w:b/>
                <w:bCs/>
              </w:rPr>
              <w:t>Директор Генерального департаменту</w:t>
            </w:r>
            <w:r>
              <w:br/>
            </w:r>
            <w:r>
              <w:rPr>
                <w:b/>
                <w:bCs/>
              </w:rPr>
              <w:t>грошово-кредитної політики</w:t>
            </w:r>
          </w:p>
        </w:tc>
        <w:tc>
          <w:tcPr>
            <w:tcW w:w="2500" w:type="pct"/>
            <w:vAlign w:val="bottom"/>
            <w:hideMark/>
          </w:tcPr>
          <w:p w:rsidR="00000000" w:rsidRDefault="00281A96">
            <w:pPr>
              <w:pStyle w:val="a3"/>
              <w:jc w:val="center"/>
            </w:pPr>
            <w:r>
              <w:rPr>
                <w:b/>
                <w:bCs/>
              </w:rPr>
              <w:t>О. А. Щербакова</w:t>
            </w:r>
          </w:p>
        </w:tc>
      </w:tr>
    </w:tbl>
    <w:p w:rsidR="00000000" w:rsidRDefault="00281A96">
      <w:pPr>
        <w:pStyle w:val="a3"/>
        <w:jc w:val="both"/>
      </w:pPr>
      <w:r>
        <w:br w:type="textWrapping" w:clear="all"/>
      </w:r>
    </w:p>
    <w:p w:rsidR="00000000" w:rsidRDefault="00281A96">
      <w:pPr>
        <w:pStyle w:val="a3"/>
        <w:jc w:val="both"/>
      </w:pPr>
      <w: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4"/>
        <w:gridCol w:w="1185"/>
      </w:tblGrid>
      <w:tr w:rsidR="00000000">
        <w:trPr>
          <w:tblCellSpacing w:w="15" w:type="dxa"/>
        </w:trPr>
        <w:tc>
          <w:tcPr>
            <w:tcW w:w="4500" w:type="pct"/>
            <w:vAlign w:val="center"/>
            <w:hideMark/>
          </w:tcPr>
          <w:p w:rsidR="00000000" w:rsidRDefault="00281A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© Інформаційно-аналітичний центр «ЛІГА», 1991 - 2013</w:t>
            </w:r>
            <w:r>
              <w:rPr>
                <w:rFonts w:eastAsia="Times New Roman"/>
              </w:rPr>
              <w:br/>
              <w:t>© ТОВ «ЛІГА:ЗАКОН», 2007 - 2013</w:t>
            </w:r>
          </w:p>
        </w:tc>
        <w:tc>
          <w:tcPr>
            <w:tcW w:w="500" w:type="pct"/>
            <w:vAlign w:val="center"/>
            <w:hideMark/>
          </w:tcPr>
          <w:p w:rsidR="00000000" w:rsidRDefault="00281A96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95325" cy="314325"/>
                  <wp:effectExtent l="0" t="0" r="9525" b="9525"/>
                  <wp:docPr id="2" name="Рисунок 2" descr="C:\Users\e.lapshova\AppData\Roaming\Liga70\Client\Session\LOGOTYP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.lapshova\AppData\Roaming\Liga70\Client\Session\LOGOTYP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1A96" w:rsidRDefault="00281A96">
      <w:pPr>
        <w:rPr>
          <w:rFonts w:eastAsia="Times New Roman"/>
        </w:rPr>
      </w:pPr>
    </w:p>
    <w:sectPr w:rsidR="00281A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84C58"/>
    <w:rsid w:val="00281A96"/>
    <w:rsid w:val="00D8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84C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C58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84C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C5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Users\e.lapshova\AppData\Roaming\Liga70\Client\Session\LOGOTYPE.BMP" TargetMode="External"/><Relationship Id="rId5" Type="http://schemas.openxmlformats.org/officeDocument/2006/relationships/image" Target="file:///C:\Users\e.lapshova\AppData\Roaming\Liga70\Client\Session\TSIGN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3522</Words>
  <Characters>2008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Лапшова Елена</dc:creator>
  <cp:lastModifiedBy>Лапшова Елена</cp:lastModifiedBy>
  <cp:revision>2</cp:revision>
  <dcterms:created xsi:type="dcterms:W3CDTF">2013-10-21T07:02:00Z</dcterms:created>
  <dcterms:modified xsi:type="dcterms:W3CDTF">2013-10-21T07:02:00Z</dcterms:modified>
</cp:coreProperties>
</file>