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B3" w:rsidRPr="00A128FF" w:rsidRDefault="003070B3" w:rsidP="003070B3">
      <w:pPr>
        <w:jc w:val="center"/>
        <w:rPr>
          <w:sz w:val="28"/>
        </w:rPr>
      </w:pPr>
      <w:r w:rsidRPr="00A128FF">
        <w:rPr>
          <w:rFonts w:ascii="Times New Roman" w:hAnsi="Times New Roman" w:cs="Times New Roman"/>
          <w:b/>
          <w:smallCaps/>
          <w:sz w:val="32"/>
          <w:szCs w:val="24"/>
        </w:rPr>
        <w:t>Пропозиції щодо удосконалення ПП «</w:t>
      </w:r>
      <w:proofErr w:type="spellStart"/>
      <w:r w:rsidRPr="00A128FF">
        <w:rPr>
          <w:rFonts w:ascii="Times New Roman" w:hAnsi="Times New Roman" w:cs="Times New Roman"/>
          <w:b/>
          <w:smallCaps/>
          <w:sz w:val="32"/>
          <w:szCs w:val="24"/>
        </w:rPr>
        <w:t>ОберонДЕПО</w:t>
      </w:r>
      <w:proofErr w:type="spellEnd"/>
      <w:r w:rsidRPr="00A128FF">
        <w:rPr>
          <w:rFonts w:ascii="Times New Roman" w:hAnsi="Times New Roman" w:cs="Times New Roman"/>
          <w:b/>
          <w:smallCaps/>
          <w:sz w:val="32"/>
          <w:szCs w:val="24"/>
        </w:rPr>
        <w:t>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71"/>
        <w:gridCol w:w="14605"/>
      </w:tblGrid>
      <w:tr w:rsidR="00D30C0A" w:rsidRPr="005C042E" w:rsidTr="00A128FF">
        <w:trPr>
          <w:trHeight w:val="499"/>
        </w:trPr>
        <w:tc>
          <w:tcPr>
            <w:tcW w:w="671" w:type="dxa"/>
            <w:vAlign w:val="center"/>
          </w:tcPr>
          <w:p w:rsidR="00D30C0A" w:rsidRPr="005C042E" w:rsidRDefault="00D30C0A" w:rsidP="00A12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</w:t>
            </w:r>
            <w:proofErr w:type="spellStart"/>
            <w:r w:rsidRPr="005C04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14605" w:type="dxa"/>
            <w:vAlign w:val="center"/>
          </w:tcPr>
          <w:p w:rsidR="00D30C0A" w:rsidRPr="005C042E" w:rsidRDefault="00F45DE5" w:rsidP="00A12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Проблеми та п</w:t>
            </w:r>
            <w:r w:rsidR="00D30C0A" w:rsidRPr="005C04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ропозиції</w:t>
            </w:r>
          </w:p>
        </w:tc>
      </w:tr>
      <w:tr w:rsidR="00D30C0A" w:rsidRPr="005C042E" w:rsidTr="00A128FF">
        <w:tc>
          <w:tcPr>
            <w:tcW w:w="15276" w:type="dxa"/>
            <w:gridSpan w:val="2"/>
            <w:shd w:val="clear" w:color="auto" w:fill="BFBFBF" w:themeFill="background1" w:themeFillShade="BF"/>
          </w:tcPr>
          <w:p w:rsidR="00D30C0A" w:rsidRPr="005C042E" w:rsidRDefault="00D30C0A" w:rsidP="00CF4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2E">
              <w:rPr>
                <w:rFonts w:ascii="Times New Roman" w:hAnsi="Times New Roman" w:cs="Times New Roman"/>
                <w:b/>
                <w:sz w:val="24"/>
                <w:szCs w:val="24"/>
              </w:rPr>
              <w:t>ВИПИСКИ</w:t>
            </w:r>
          </w:p>
        </w:tc>
      </w:tr>
      <w:tr w:rsidR="00D30C0A" w:rsidRPr="005C042E" w:rsidTr="00A128FF">
        <w:tc>
          <w:tcPr>
            <w:tcW w:w="671" w:type="dxa"/>
          </w:tcPr>
          <w:p w:rsidR="00D30C0A" w:rsidRPr="005C042E" w:rsidRDefault="00D30C0A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D30C0A" w:rsidRPr="005C042E" w:rsidRDefault="00D30C0A" w:rsidP="00D543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Реалізувати можливість друку:</w:t>
            </w:r>
          </w:p>
          <w:p w:rsidR="00D30C0A" w:rsidRPr="005C042E" w:rsidRDefault="00D30C0A" w:rsidP="00D543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DB4626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виписок </w:t>
            </w: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декількома рахунками, задавши інтервал рахунків з ____ по _____. </w:t>
            </w:r>
            <w:r w:rsidRPr="005C042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Прим. На сьогодні функція «Масовий друк» не всі рахунки дозволяє вибрати</w:t>
            </w:r>
            <w:r w:rsidR="00D74A78" w:rsidRPr="005C042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крім того «масовий друк» працює нестабільно</w:t>
            </w:r>
            <w:r w:rsidRPr="005C042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;</w:t>
            </w:r>
          </w:p>
          <w:p w:rsidR="00D30C0A" w:rsidRPr="005C042E" w:rsidRDefault="00D30C0A" w:rsidP="00D543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DB4626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виписок </w:t>
            </w: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DB4626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 операції за операційний день;</w:t>
            </w:r>
          </w:p>
          <w:p w:rsidR="00DB4626" w:rsidRPr="005C042E" w:rsidRDefault="00DB4626" w:rsidP="00D543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певної сторінки виписки, а не всі підтвердження разом;</w:t>
            </w:r>
          </w:p>
          <w:p w:rsidR="00DB4626" w:rsidRPr="005C042E" w:rsidRDefault="00CC3FB3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виписки про стан рахунку за окремим випуском ЦП</w:t>
            </w:r>
            <w:r w:rsidR="00CF450B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7010D" w:rsidRPr="005C042E" w:rsidTr="00A128FF">
        <w:tc>
          <w:tcPr>
            <w:tcW w:w="671" w:type="dxa"/>
          </w:tcPr>
          <w:p w:rsidR="0017010D" w:rsidRPr="005C042E" w:rsidRDefault="0017010D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5" w:type="dxa"/>
          </w:tcPr>
          <w:p w:rsidR="0017010D" w:rsidRPr="005C042E" w:rsidRDefault="0017010D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Опціонально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додати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можливість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виписки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виключати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виписки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(з метою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нумерації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ДУ) </w:t>
            </w:r>
          </w:p>
        </w:tc>
      </w:tr>
      <w:tr w:rsidR="00D30C0A" w:rsidRPr="005C042E" w:rsidTr="00A128FF">
        <w:tc>
          <w:tcPr>
            <w:tcW w:w="671" w:type="dxa"/>
          </w:tcPr>
          <w:p w:rsidR="00D30C0A" w:rsidRPr="005C042E" w:rsidRDefault="00D30C0A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D30C0A" w:rsidRPr="005C042E" w:rsidRDefault="00D30C0A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Виписка про операції формується пуста, якщо у заданому періоді не проводились операції. Пропонуємо доповнити виписку незалежно від того, чи проводились операції, такою інформацією: дані про емітента, сальдо на початок періоду та сальдо на кінець періоду. </w:t>
            </w:r>
          </w:p>
        </w:tc>
      </w:tr>
      <w:tr w:rsidR="00DB4626" w:rsidRPr="005C042E" w:rsidTr="00A128FF">
        <w:tc>
          <w:tcPr>
            <w:tcW w:w="671" w:type="dxa"/>
          </w:tcPr>
          <w:p w:rsidR="00DB4626" w:rsidRPr="005C042E" w:rsidRDefault="00DB4626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DB4626" w:rsidRPr="005C042E" w:rsidRDefault="00E9077A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Додати можливість формувати шаблони з декількома конкретними рахунками, за допомогою яких була б можливість швидко сформувати виписки, визначивши тільки дату (період) </w:t>
            </w:r>
          </w:p>
        </w:tc>
      </w:tr>
      <w:tr w:rsidR="00D30C0A" w:rsidRPr="005C042E" w:rsidTr="00A128FF">
        <w:tc>
          <w:tcPr>
            <w:tcW w:w="671" w:type="dxa"/>
          </w:tcPr>
          <w:p w:rsidR="00D30C0A" w:rsidRPr="005C042E" w:rsidRDefault="00D30C0A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D30C0A" w:rsidRPr="005C042E" w:rsidRDefault="00D30C0A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Реалізувати можливість відбору депонентів, які уклали договір на обслуговування, та масово надрукувати їм виписки</w:t>
            </w:r>
          </w:p>
        </w:tc>
      </w:tr>
      <w:tr w:rsidR="00D30C0A" w:rsidRPr="005C042E" w:rsidTr="00A128FF">
        <w:tc>
          <w:tcPr>
            <w:tcW w:w="671" w:type="dxa"/>
          </w:tcPr>
          <w:p w:rsidR="00D30C0A" w:rsidRPr="005C042E" w:rsidRDefault="00D30C0A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D30C0A" w:rsidRPr="005C042E" w:rsidRDefault="00D30C0A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Виписка про стан рахунку після списання цінних паперів з рахунку депонента відображає кількість ЦП «0», але назви емітента та коду ЦП немає. Необхідно доповнити виписку про стан рахунку вказаними полями навіть якщо цінних паперів на рахунку вже немає.</w:t>
            </w:r>
          </w:p>
        </w:tc>
      </w:tr>
      <w:tr w:rsidR="00D30C0A" w:rsidRPr="005C042E" w:rsidTr="00A128FF">
        <w:tc>
          <w:tcPr>
            <w:tcW w:w="671" w:type="dxa"/>
          </w:tcPr>
          <w:p w:rsidR="00D30C0A" w:rsidRPr="005C042E" w:rsidRDefault="00D30C0A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D30C0A" w:rsidRPr="005C042E" w:rsidRDefault="007A15FF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Додати можливість формування та друку виписок англійською мовою для нерезидентів (рекомендації додаються)</w:t>
            </w:r>
          </w:p>
        </w:tc>
      </w:tr>
      <w:tr w:rsidR="002D1A9C" w:rsidRPr="005C042E" w:rsidTr="00A128FF">
        <w:tc>
          <w:tcPr>
            <w:tcW w:w="671" w:type="dxa"/>
          </w:tcPr>
          <w:p w:rsidR="002D1A9C" w:rsidRPr="005C042E" w:rsidRDefault="002D1A9C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2D1A9C" w:rsidRPr="005C042E" w:rsidRDefault="00F45B6C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Доповнити форму виписки про операції колонкою  «вартість операції</w:t>
            </w:r>
            <w:r w:rsidR="00D12D19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D30C0A" w:rsidRPr="005C042E" w:rsidTr="00A128FF">
        <w:tc>
          <w:tcPr>
            <w:tcW w:w="671" w:type="dxa"/>
          </w:tcPr>
          <w:p w:rsidR="00D30C0A" w:rsidRPr="005C042E" w:rsidRDefault="00D30C0A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D30C0A" w:rsidRPr="005C042E" w:rsidRDefault="00D30C0A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Привести форму виписки у відповідність до вимог Положення про провадження депозитарної діяльності (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НКЦПФР № 735):</w:t>
            </w:r>
          </w:p>
          <w:p w:rsidR="00D30C0A" w:rsidRPr="005C042E" w:rsidRDefault="00D30C0A" w:rsidP="00CF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дату та час складання виписки (замість цього вказується – «сформовано»),</w:t>
            </w:r>
          </w:p>
          <w:p w:rsidR="00D30C0A" w:rsidRPr="005C042E" w:rsidRDefault="00D30C0A" w:rsidP="00CF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найменування або прізвище, ім’я, по батькові, (замість цього вказується «повна назва»)</w:t>
            </w:r>
          </w:p>
          <w:p w:rsidR="00D30C0A" w:rsidRPr="005C042E" w:rsidRDefault="00D30C0A" w:rsidP="00CF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реєстраційний номер облікової картки платника податків (для фізичної особи) (за наявності) (замість цього вказується – «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Код»)</w:t>
            </w:r>
          </w:p>
          <w:p w:rsidR="00D30C0A" w:rsidRPr="005C042E" w:rsidRDefault="00D30C0A" w:rsidP="00CF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код за ЄДРПОУ (замість цього вказується – «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Код»)</w:t>
            </w:r>
          </w:p>
          <w:p w:rsidR="00D30C0A" w:rsidRPr="005C042E" w:rsidRDefault="00D30C0A" w:rsidP="00CF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депозитарний код рахунку в цінних паперах (замість цього вказується «Рахунок»)</w:t>
            </w:r>
          </w:p>
          <w:p w:rsidR="00D30C0A" w:rsidRPr="005C042E" w:rsidRDefault="00D30C0A" w:rsidP="00CF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найменування органу, що видав документ (для фізичної особи)</w:t>
            </w:r>
          </w:p>
          <w:p w:rsidR="00D30C0A" w:rsidRPr="005C042E" w:rsidRDefault="00D30C0A" w:rsidP="00CF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найменування емітента цінних паперів, код за ЄДРПОУ емітента цінних паперів, вид, тип, форма випуску цінних паперів, код цінних паперів, серія випуску цінних паперів (за наявності) (замість цього вказується – «ЦП», «Код ЄДРПОУ»)</w:t>
            </w:r>
          </w:p>
          <w:p w:rsidR="00D30C0A" w:rsidRPr="005C042E" w:rsidRDefault="00D30C0A" w:rsidP="00CF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номінальна вартість одного цінного папера (замість цього вказується – «Номінальна вартість ЦП»)</w:t>
            </w:r>
          </w:p>
          <w:p w:rsidR="00D30C0A" w:rsidRPr="005C042E" w:rsidRDefault="00D30C0A" w:rsidP="00CF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загальна номінальна вартість цінних паперів</w:t>
            </w:r>
          </w:p>
          <w:p w:rsidR="00D30C0A" w:rsidRPr="005C042E" w:rsidRDefault="00D30C0A" w:rsidP="00CF45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кількість цінних паперів (замість цього вказується «Кількість ЦП на рахунку всього, шт.»). </w:t>
            </w:r>
          </w:p>
          <w:p w:rsidR="00D30C0A" w:rsidRPr="005C042E" w:rsidRDefault="00D30C0A" w:rsidP="0018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Крім того, виписка помилково містить слово «зберігач» замість «депозитарна установа»</w:t>
            </w:r>
            <w:r w:rsidR="006A1190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неможливо видалити строк дії ліцензії</w:t>
            </w:r>
          </w:p>
          <w:p w:rsidR="00184F9C" w:rsidRPr="005C042E" w:rsidRDefault="00184F9C" w:rsidP="00184F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Рекомендовані форми виписки, що відповідають вимогам Положення № 735 </w:t>
            </w:r>
            <w:r w:rsidRPr="005C04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додаються</w:t>
            </w: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B1C3E" w:rsidRPr="005C042E" w:rsidTr="00A128FF">
        <w:tc>
          <w:tcPr>
            <w:tcW w:w="671" w:type="dxa"/>
          </w:tcPr>
          <w:p w:rsidR="006B1C3E" w:rsidRPr="005C042E" w:rsidRDefault="006B1C3E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5" w:type="dxa"/>
          </w:tcPr>
          <w:p w:rsidR="006B1C3E" w:rsidRPr="005C042E" w:rsidRDefault="006B1C3E" w:rsidP="006B1C3E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відображенні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операцій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Розрахунки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правочинами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вказувати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тільки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біржового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 але і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назву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організатора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торгівлі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. На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даний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немає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ідтвердження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для депонента,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біржова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угода, а не угода за принципом «поставка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платежу»</w:t>
            </w:r>
          </w:p>
        </w:tc>
      </w:tr>
      <w:tr w:rsidR="00EF4C20" w:rsidRPr="005C042E" w:rsidTr="00A128FF">
        <w:tc>
          <w:tcPr>
            <w:tcW w:w="671" w:type="dxa"/>
          </w:tcPr>
          <w:p w:rsidR="00EF4C20" w:rsidRPr="005C042E" w:rsidRDefault="00EF4C20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EF4C20" w:rsidRPr="005C042E" w:rsidRDefault="00EF4C20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виписки з рахунку станом на попередню дату реалізовано у програмному модулі помилково. Невірно визначається кількість цінних паперів на рахунку.</w:t>
            </w:r>
          </w:p>
        </w:tc>
      </w:tr>
      <w:tr w:rsidR="00F5562A" w:rsidRPr="005C042E" w:rsidTr="00A128FF">
        <w:tc>
          <w:tcPr>
            <w:tcW w:w="671" w:type="dxa"/>
          </w:tcPr>
          <w:p w:rsidR="00F5562A" w:rsidRPr="005C042E" w:rsidRDefault="00F5562A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F5562A" w:rsidRPr="005C042E" w:rsidRDefault="00F5562A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формуванні будь-якої виписки програма переходить в головне меню. Необхідно реалізувати повернення в закладку «Звіти»</w:t>
            </w:r>
          </w:p>
        </w:tc>
      </w:tr>
      <w:tr w:rsidR="009A518B" w:rsidRPr="005C042E" w:rsidTr="00A128FF">
        <w:tc>
          <w:tcPr>
            <w:tcW w:w="671" w:type="dxa"/>
          </w:tcPr>
          <w:p w:rsidR="009A518B" w:rsidRPr="005C042E" w:rsidRDefault="009A518B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5" w:type="dxa"/>
          </w:tcPr>
          <w:p w:rsidR="009A518B" w:rsidRPr="005C042E" w:rsidRDefault="009A518B" w:rsidP="00377199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запущено процес формування виписок, то немає можливості відмінити цей процес.</w:t>
            </w:r>
            <w:r w:rsidR="00377199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даний час для припинення процесу необхідно користуватися диспетчером завдань (закрити програму), а потім знову запустити.</w:t>
            </w: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Оскільки даний процес блокує роботу з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Обероном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то пропонується функцію формування виписок винести в окремий модуль.</w:t>
            </w:r>
          </w:p>
        </w:tc>
      </w:tr>
      <w:tr w:rsidR="007A60F2" w:rsidRPr="005C042E" w:rsidTr="00A128FF">
        <w:tc>
          <w:tcPr>
            <w:tcW w:w="15276" w:type="dxa"/>
            <w:gridSpan w:val="2"/>
            <w:shd w:val="clear" w:color="auto" w:fill="BFBFBF" w:themeFill="background1" w:themeFillShade="BF"/>
          </w:tcPr>
          <w:p w:rsidR="007A60F2" w:rsidRPr="005C042E" w:rsidRDefault="007A60F2" w:rsidP="00B0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АНКЕТА РАХУНКУ</w:t>
            </w:r>
          </w:p>
        </w:tc>
      </w:tr>
      <w:tr w:rsidR="00CC1BFE" w:rsidRPr="005C042E" w:rsidTr="00A128FF">
        <w:tc>
          <w:tcPr>
            <w:tcW w:w="671" w:type="dxa"/>
          </w:tcPr>
          <w:p w:rsidR="00CC1BFE" w:rsidRPr="005C042E" w:rsidRDefault="00CC1BFE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CC1BFE" w:rsidRPr="005C042E" w:rsidRDefault="007A60F2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Обов’язковий реквізит Додатка №4 до Регламент</w:t>
            </w:r>
            <w:r w:rsidR="00F5562A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«Анкета рахунку у цінних паперах» «Дата народження» розпорядника рахунку депонента при відкритті рахунку вноситься працівником депозитарної установи у програмний комплекс. Але друкована форма анкети у цінних паперах не містить цього реквізиту. Крім того,  помилково містить слово «зберігач» замість «депозитарна установа».</w:t>
            </w:r>
          </w:p>
        </w:tc>
      </w:tr>
      <w:tr w:rsidR="00CC1BFE" w:rsidRPr="005C042E" w:rsidTr="00A128FF">
        <w:tc>
          <w:tcPr>
            <w:tcW w:w="671" w:type="dxa"/>
          </w:tcPr>
          <w:p w:rsidR="00CC1BFE" w:rsidRPr="005C042E" w:rsidRDefault="00CC1BFE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CC1BFE" w:rsidRPr="005C042E" w:rsidRDefault="00F45DE5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Програмний комплекс ЦД не відповідає вимогам п. 62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роділу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V глави 2 Положення № 735, а саме: анкета рахунку у цінних паперах депонента має містити інформацію щодо порядку та строків перерахування депозитарною установою депоненту виплат доходу за цінними паперами, права на які обліковуються на рахунку в цінних паперах депонента, а також надання йому інформації про корпоративні операції емітентів, отриманої від Центрального депозитарію.</w:t>
            </w:r>
          </w:p>
        </w:tc>
      </w:tr>
      <w:tr w:rsidR="00CC1BFE" w:rsidRPr="005C042E" w:rsidTr="00A128FF">
        <w:tc>
          <w:tcPr>
            <w:tcW w:w="671" w:type="dxa"/>
          </w:tcPr>
          <w:p w:rsidR="00CC1BFE" w:rsidRPr="005C042E" w:rsidRDefault="00CC1BFE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CC1BFE" w:rsidRPr="005C042E" w:rsidRDefault="00286027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Додати можливість корегування літер в номері рахунку в ЦП у зв’язку зі зміною громадянства депонента та подання відповідних документів</w:t>
            </w:r>
          </w:p>
        </w:tc>
      </w:tr>
      <w:tr w:rsidR="00286027" w:rsidRPr="005C042E" w:rsidTr="00A128FF">
        <w:tc>
          <w:tcPr>
            <w:tcW w:w="671" w:type="dxa"/>
          </w:tcPr>
          <w:p w:rsidR="00286027" w:rsidRPr="005C042E" w:rsidRDefault="00286027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286027" w:rsidRPr="005C042E" w:rsidRDefault="00610649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закладці «Залишки» додати колонку «загальна номінальна вартість» та «% </w:t>
            </w:r>
            <w:r w:rsidR="0041294C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СК» </w:t>
            </w:r>
          </w:p>
        </w:tc>
      </w:tr>
      <w:tr w:rsidR="00A6542E" w:rsidRPr="005C042E" w:rsidTr="00A128FF">
        <w:tc>
          <w:tcPr>
            <w:tcW w:w="671" w:type="dxa"/>
          </w:tcPr>
          <w:p w:rsidR="00A6542E" w:rsidRPr="005C042E" w:rsidRDefault="00A6542E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A6542E" w:rsidRPr="005C042E" w:rsidRDefault="00A6542E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Розділення анкети </w:t>
            </w:r>
            <w:r w:rsidR="000455D6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суб’єкта</w:t>
            </w: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Депозитарії та анкети рахунка в депозитарній установі. На даний момент при зміні анкети </w:t>
            </w:r>
            <w:r w:rsidR="000455D6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суб’єкта</w:t>
            </w: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ЦД відповідні зміни автоматично вносяться до анкети рахунка, </w:t>
            </w:r>
            <w:r w:rsidR="000455D6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незважаючи</w:t>
            </w: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відсутність у депозитарної установи документів, які підтверджують вказані зміни, що унеможливлює перевірку реквізитів </w:t>
            </w:r>
            <w:r w:rsidR="000455D6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анкети в ПТК.</w:t>
            </w:r>
          </w:p>
        </w:tc>
      </w:tr>
      <w:tr w:rsidR="00D5432D" w:rsidRPr="005C042E" w:rsidTr="00A128FF">
        <w:tc>
          <w:tcPr>
            <w:tcW w:w="671" w:type="dxa"/>
          </w:tcPr>
          <w:p w:rsidR="00D5432D" w:rsidRPr="005C042E" w:rsidRDefault="00D5432D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D5432D" w:rsidRPr="005C042E" w:rsidRDefault="00D5432D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Депонентам, яким відкрито грошові рахунки у Ощадбанку України, необхідне уточнення  не тільки № рахунку, МФО та назви банку, а також відділення і філії. Проте умов для внесення та збереження такої інформації на даний час не існує.</w:t>
            </w:r>
          </w:p>
        </w:tc>
      </w:tr>
      <w:tr w:rsidR="005716D0" w:rsidRPr="005C042E" w:rsidTr="00A128FF">
        <w:tc>
          <w:tcPr>
            <w:tcW w:w="671" w:type="dxa"/>
          </w:tcPr>
          <w:p w:rsidR="005716D0" w:rsidRPr="005C042E" w:rsidRDefault="005716D0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5" w:type="dxa"/>
          </w:tcPr>
          <w:p w:rsidR="005716D0" w:rsidRPr="005C042E" w:rsidRDefault="005716D0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введенні банківських реквізитів збільшити кількість символів </w:t>
            </w:r>
            <w:r w:rsidR="00940CDE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введення номеру банківського рахунку</w:t>
            </w:r>
          </w:p>
        </w:tc>
      </w:tr>
      <w:tr w:rsidR="007A4577" w:rsidRPr="005C042E" w:rsidTr="00A128FF">
        <w:tc>
          <w:tcPr>
            <w:tcW w:w="671" w:type="dxa"/>
          </w:tcPr>
          <w:p w:rsidR="007A4577" w:rsidRPr="005C042E" w:rsidRDefault="007A4577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5" w:type="dxa"/>
          </w:tcPr>
          <w:p w:rsidR="007A4577" w:rsidRPr="005C042E" w:rsidRDefault="007A4577" w:rsidP="007A4577">
            <w:pPr>
              <w:tabs>
                <w:tab w:val="left" w:pos="1993"/>
              </w:tabs>
              <w:spacing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Розділити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анкеті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рахунку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повноваження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керуючих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рахунками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саме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виділити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окремий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статус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керуючого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рахунком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цінних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паперах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торговця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цінними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паперами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НКЦПФР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06.08.2013 № 1412 «Про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до договору про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рахунку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цінних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паперах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р.ІІ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п. 4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. 4) «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надавати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депозитарній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установі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лише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одного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керуючого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рахунком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цінних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паперах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торговця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цінними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паперами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депонентом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надані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повноваження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вчинення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правочинів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цінних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паперів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інтересах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депонента,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виконуються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забезпеченням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розрахунків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правочинами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цінних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паперів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дотриманням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принципу «поставка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цінних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паперів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оплати»,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надасть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можливість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чинного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стосовно</w:t>
            </w:r>
            <w:proofErr w:type="spellEnd"/>
            <w:proofErr w:type="gram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ІС</w:t>
            </w:r>
            <w:proofErr w:type="gram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І,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керуючим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рахунком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бути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призначено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тільки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КУА,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ліцензію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провадження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активами в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установленому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законодавством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поряку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5DE5" w:rsidRPr="005C042E" w:rsidTr="00A128FF">
        <w:tc>
          <w:tcPr>
            <w:tcW w:w="15276" w:type="dxa"/>
            <w:gridSpan w:val="2"/>
            <w:shd w:val="clear" w:color="auto" w:fill="BFBFBF" w:themeFill="background1" w:themeFillShade="BF"/>
          </w:tcPr>
          <w:p w:rsidR="00F45DE5" w:rsidRPr="005C042E" w:rsidRDefault="00F45DE5" w:rsidP="00B0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МОНІТОР</w:t>
            </w:r>
          </w:p>
        </w:tc>
      </w:tr>
      <w:tr w:rsidR="00D30C0A" w:rsidRPr="005C042E" w:rsidTr="00A128FF">
        <w:tc>
          <w:tcPr>
            <w:tcW w:w="671" w:type="dxa"/>
          </w:tcPr>
          <w:p w:rsidR="00D30C0A" w:rsidRPr="005C042E" w:rsidRDefault="00D30C0A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D30C0A" w:rsidRPr="005C042E" w:rsidRDefault="00F45DE5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Додати інформаційн</w:t>
            </w:r>
            <w:r w:rsidR="00286027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</w:t>
            </w: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вікн</w:t>
            </w:r>
            <w:r w:rsidR="00286027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стан проведення операції, поява інформаційного повідомлення про початок/закінчення завантаження біржових операції</w:t>
            </w:r>
          </w:p>
        </w:tc>
      </w:tr>
      <w:tr w:rsidR="00286027" w:rsidRPr="005C042E" w:rsidTr="00A128FF">
        <w:tc>
          <w:tcPr>
            <w:tcW w:w="671" w:type="dxa"/>
          </w:tcPr>
          <w:p w:rsidR="00286027" w:rsidRPr="005C042E" w:rsidRDefault="00286027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286027" w:rsidRPr="005C042E" w:rsidRDefault="00286027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Реалізувати надсилання довідки/виписки після закінчення завантаження біржових операцій</w:t>
            </w:r>
          </w:p>
        </w:tc>
      </w:tr>
      <w:tr w:rsidR="00286027" w:rsidRPr="005C042E" w:rsidTr="00A128FF">
        <w:tc>
          <w:tcPr>
            <w:tcW w:w="671" w:type="dxa"/>
          </w:tcPr>
          <w:p w:rsidR="00286027" w:rsidRPr="005C042E" w:rsidRDefault="00286027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286027" w:rsidRPr="005C042E" w:rsidRDefault="002D1A9C" w:rsidP="006E7014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Додати лінійку ПРОВЕДЕНО / ВІДХИЛЕНО чи ЗАВЕРШЕНО З ПОМИЛКАМИ до Монітору для постійного відстеж</w:t>
            </w:r>
            <w:r w:rsidR="006E7014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актуального статусу операцій</w:t>
            </w:r>
            <w:r w:rsidR="00F45B6C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додати можливість виділення кольором операції, що проведені успішно, з помил</w:t>
            </w:r>
            <w:r w:rsidR="006E7014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ками, біржові контракти та ін. (з наданням користувачу прав здійснювати налаштування опції)</w:t>
            </w:r>
            <w:r w:rsidR="006A1190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При завершенні з помилкою додати необхідність натискання оператором кнопки «</w:t>
            </w:r>
            <w:proofErr w:type="spellStart"/>
            <w:r w:rsidR="006A1190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  <w:proofErr w:type="spellEnd"/>
            <w:r w:rsidR="006A1190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F45B6C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86027" w:rsidRPr="005C042E" w:rsidTr="00A128FF">
        <w:tc>
          <w:tcPr>
            <w:tcW w:w="671" w:type="dxa"/>
          </w:tcPr>
          <w:p w:rsidR="00286027" w:rsidRPr="005C042E" w:rsidRDefault="00286027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286027" w:rsidRPr="005C042E" w:rsidRDefault="00496676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Запровадити механізм контролю операцій, які автоматично відхиляються програмним ком</w:t>
            </w:r>
            <w:r w:rsidR="006E7014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лексом (за закінченням строку виконання, або при автоматичному відхиленні вхідного розпорядження немає повідомлення користувача про відхилення розпорядження, тільки запис в журналі)</w:t>
            </w:r>
          </w:p>
        </w:tc>
      </w:tr>
      <w:tr w:rsidR="00FB6952" w:rsidRPr="005C042E" w:rsidTr="00A128FF">
        <w:tc>
          <w:tcPr>
            <w:tcW w:w="671" w:type="dxa"/>
          </w:tcPr>
          <w:p w:rsidR="00FB6952" w:rsidRPr="005C042E" w:rsidRDefault="00FB6952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FB6952" w:rsidRPr="005C042E" w:rsidRDefault="00FB6952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Перейменувати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кнопку «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ігнорувати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» на «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відмінити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», а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дати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можливість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відміну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знаходячись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вінкі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відображення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операції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оскільки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виході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з перегляду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операції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курсор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перескакує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автоматично на першу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позицію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в списку «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очіку</w:t>
            </w:r>
            <w:proofErr w:type="gram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пари».</w:t>
            </w:r>
          </w:p>
        </w:tc>
      </w:tr>
      <w:tr w:rsidR="00303305" w:rsidRPr="005C042E" w:rsidTr="00A128FF">
        <w:tc>
          <w:tcPr>
            <w:tcW w:w="15276" w:type="dxa"/>
            <w:gridSpan w:val="2"/>
            <w:shd w:val="clear" w:color="auto" w:fill="BFBFBF" w:themeFill="background1" w:themeFillShade="BF"/>
          </w:tcPr>
          <w:p w:rsidR="00303305" w:rsidRPr="005C042E" w:rsidRDefault="00303305" w:rsidP="00B0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ПЕРЕГЛЯД ЖУРНАЛІВ</w:t>
            </w:r>
            <w:r w:rsidR="00EF0411" w:rsidRPr="005C04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РАХУНКІВ В ЦП</w:t>
            </w:r>
          </w:p>
        </w:tc>
      </w:tr>
      <w:tr w:rsidR="00303305" w:rsidRPr="005C042E" w:rsidTr="00A128FF">
        <w:tc>
          <w:tcPr>
            <w:tcW w:w="671" w:type="dxa"/>
          </w:tcPr>
          <w:p w:rsidR="00303305" w:rsidRPr="005C042E" w:rsidRDefault="00303305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303305" w:rsidRPr="005C042E" w:rsidRDefault="00EF0411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перегляді рахунків в ЦП відсутня колонка «номер та дата договору». Необхідно додати фільтри за типами клієнтів, відкриття рахунків з дати до дати, наявність договору з депозитарною установою</w:t>
            </w:r>
            <w:r w:rsidR="000E5A08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рахунки відкриті депонентом, рахунки відкриті емітентом</w:t>
            </w: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Або передбачити у розділі «Статистика»: кількість депонентів (всього, за кожним типом, відкритих за період, за ознакою наявності договору та ін.</w:t>
            </w:r>
            <w:r w:rsidR="00610649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вибір клієнтів, що мають певний % від СК за конкретним ЦП. </w:t>
            </w:r>
          </w:p>
        </w:tc>
      </w:tr>
      <w:tr w:rsidR="00610649" w:rsidRPr="005C042E" w:rsidTr="00A128FF">
        <w:tc>
          <w:tcPr>
            <w:tcW w:w="671" w:type="dxa"/>
          </w:tcPr>
          <w:p w:rsidR="00610649" w:rsidRPr="005C042E" w:rsidRDefault="00610649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610649" w:rsidRPr="005C042E" w:rsidRDefault="00610649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Додати відображення сторін операцій в операціях переходу прав власності в Журналі операцій</w:t>
            </w:r>
          </w:p>
        </w:tc>
      </w:tr>
      <w:tr w:rsidR="00303305" w:rsidRPr="005C042E" w:rsidTr="00A128FF">
        <w:tc>
          <w:tcPr>
            <w:tcW w:w="15276" w:type="dxa"/>
            <w:gridSpan w:val="2"/>
            <w:shd w:val="clear" w:color="auto" w:fill="BFBFBF" w:themeFill="background1" w:themeFillShade="BF"/>
          </w:tcPr>
          <w:p w:rsidR="00303305" w:rsidRPr="005C042E" w:rsidRDefault="00303305" w:rsidP="00B0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ФОРМУВАННЯ РЕЄСТРІВ</w:t>
            </w:r>
          </w:p>
        </w:tc>
      </w:tr>
      <w:tr w:rsidR="009338A2" w:rsidRPr="005C042E" w:rsidTr="00A128FF">
        <w:tc>
          <w:tcPr>
            <w:tcW w:w="671" w:type="dxa"/>
          </w:tcPr>
          <w:p w:rsidR="009338A2" w:rsidRPr="005C042E" w:rsidRDefault="009338A2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9338A2" w:rsidRPr="005C042E" w:rsidRDefault="0041294C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 повідомлення про надання облікового реєстру відображається некоректно (повідомлення станом на теперішню дату повинні відображатися як очікує дату, а не очікує підтвердження операції)</w:t>
            </w:r>
          </w:p>
        </w:tc>
      </w:tr>
      <w:tr w:rsidR="00763965" w:rsidRPr="005C042E" w:rsidTr="00A128FF">
        <w:tc>
          <w:tcPr>
            <w:tcW w:w="671" w:type="dxa"/>
          </w:tcPr>
          <w:p w:rsidR="00763965" w:rsidRPr="005C042E" w:rsidRDefault="00763965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5" w:type="dxa"/>
          </w:tcPr>
          <w:p w:rsidR="00763965" w:rsidRPr="005C042E" w:rsidRDefault="00763965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формуванні реєстру з банківськими реквізитами для виплати дивідендів, якщо у депонента встановлено відмітку (галочку) «Використовувати рахунок Депозитарної установи», то емітент, отримавши реєстр не бачить, що у такого клієнта банківський рахунок Депозитарної установи, емітент вважає, що вказаний рахунок належить особисто депоненту.</w:t>
            </w:r>
          </w:p>
        </w:tc>
      </w:tr>
      <w:tr w:rsidR="00EF4C20" w:rsidRPr="005C042E" w:rsidTr="00A128FF">
        <w:tc>
          <w:tcPr>
            <w:tcW w:w="15276" w:type="dxa"/>
            <w:gridSpan w:val="2"/>
            <w:shd w:val="clear" w:color="auto" w:fill="BFBFBF" w:themeFill="background1" w:themeFillShade="BF"/>
          </w:tcPr>
          <w:p w:rsidR="00EF4C20" w:rsidRPr="005C042E" w:rsidRDefault="00EF4C20" w:rsidP="00B0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ПРОВЕДЕННЯ ДЕПОЗИТАРНИХ ОПЕРАЦІЙ</w:t>
            </w:r>
          </w:p>
        </w:tc>
      </w:tr>
      <w:tr w:rsidR="00D30C0A" w:rsidRPr="005C042E" w:rsidTr="00A128FF">
        <w:tc>
          <w:tcPr>
            <w:tcW w:w="671" w:type="dxa"/>
          </w:tcPr>
          <w:p w:rsidR="00D30C0A" w:rsidRPr="005C042E" w:rsidRDefault="00D30C0A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D30C0A" w:rsidRPr="005C042E" w:rsidRDefault="00F63FC1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проведення операцій на фондовій біржі к ПТК необхідно вказувати торговця, що діє від імені клієнта «керуючим рахунком». Проте діюче законодавство не містить вимоги призначення торговця керуючим рахунком для здійснення біржових угод. </w:t>
            </w:r>
            <w:r w:rsidR="00D600EE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Пропонуємо при проведення депозитарних операцій через РЦ замість «керуючий рахунком» в анкеті рахунку вказувати «брокер» - торговця. При формуванні </w:t>
            </w:r>
            <w:r w:rsidR="00502200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операції «блокування в РЦ» надавати вибірку тільки зареєстрованих клірингових рахунків. При виборі коду депонента повинні підтягуватися дані по торговцю.</w:t>
            </w: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D30C0A" w:rsidRPr="005C042E" w:rsidTr="00A128FF">
        <w:tc>
          <w:tcPr>
            <w:tcW w:w="671" w:type="dxa"/>
          </w:tcPr>
          <w:p w:rsidR="00D30C0A" w:rsidRPr="005C042E" w:rsidRDefault="00D30C0A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D30C0A" w:rsidRPr="005C042E" w:rsidRDefault="00D30C0A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</w:t>
            </w:r>
            <w:r w:rsidR="00502200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формуванні розпорядження додати поля:</w:t>
            </w:r>
          </w:p>
          <w:p w:rsidR="00D30C0A" w:rsidRPr="005C042E" w:rsidRDefault="00D30C0A" w:rsidP="00CF450B">
            <w:pPr>
              <w:numPr>
                <w:ilvl w:val="0"/>
                <w:numId w:val="1"/>
              </w:num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«обслугову</w:t>
            </w:r>
            <w:r w:rsidR="00854B58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</w:t>
            </w: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операцій»( за р</w:t>
            </w:r>
            <w:r w:rsidR="00854B58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</w:t>
            </w: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порядженням, безумовна, на підставі інформації від Депозитарію)</w:t>
            </w:r>
          </w:p>
          <w:p w:rsidR="00D30C0A" w:rsidRPr="005C042E" w:rsidRDefault="00D30C0A" w:rsidP="00CF450B">
            <w:pPr>
              <w:numPr>
                <w:ilvl w:val="0"/>
                <w:numId w:val="1"/>
              </w:num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«код та назва торговця ЦП»</w:t>
            </w:r>
          </w:p>
          <w:p w:rsidR="00002428" w:rsidRPr="005C042E" w:rsidRDefault="00002428" w:rsidP="00002428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 дозволить на етапі вводу реквізитів облікової операції забезпечити наявність всіх необхідних для формування щоденного та квартального звітів до НКЦФПР даних</w:t>
            </w:r>
            <w:r w:rsidR="00E9086E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D06CB" w:rsidRPr="005C042E" w:rsidTr="00A128FF">
        <w:tc>
          <w:tcPr>
            <w:tcW w:w="15276" w:type="dxa"/>
            <w:gridSpan w:val="2"/>
            <w:shd w:val="clear" w:color="auto" w:fill="BFBFBF" w:themeFill="background1" w:themeFillShade="BF"/>
          </w:tcPr>
          <w:p w:rsidR="009D06CB" w:rsidRPr="005C042E" w:rsidRDefault="009D06CB" w:rsidP="00B0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ЗВІТИ</w:t>
            </w:r>
          </w:p>
        </w:tc>
      </w:tr>
      <w:tr w:rsidR="00D30C0A" w:rsidRPr="005C042E" w:rsidTr="00A128FF">
        <w:tc>
          <w:tcPr>
            <w:tcW w:w="671" w:type="dxa"/>
          </w:tcPr>
          <w:p w:rsidR="00D30C0A" w:rsidRPr="005C042E" w:rsidRDefault="00D30C0A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D30C0A" w:rsidRPr="005C042E" w:rsidRDefault="00694056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Квартальна звітність до НКЦПФР щодо адміністративних операцій формується з помилковими даними</w:t>
            </w:r>
            <w:r w:rsidR="00E9086E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D06CB" w:rsidRPr="005C042E" w:rsidTr="00A128FF">
        <w:tc>
          <w:tcPr>
            <w:tcW w:w="671" w:type="dxa"/>
          </w:tcPr>
          <w:p w:rsidR="009D06CB" w:rsidRPr="005C042E" w:rsidRDefault="009D06CB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9D06CB" w:rsidRPr="005C042E" w:rsidRDefault="00694056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Доопрацювати модуль формування нерегулярної звітності. На даний час не формуються події при блокуванні всього випуску ЦП</w:t>
            </w:r>
            <w:r w:rsidR="00E9086E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C510A" w:rsidRPr="005C042E" w:rsidTr="00A128FF">
        <w:tc>
          <w:tcPr>
            <w:tcW w:w="671" w:type="dxa"/>
          </w:tcPr>
          <w:p w:rsidR="00CC510A" w:rsidRPr="005C042E" w:rsidRDefault="00CC510A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5" w:type="dxa"/>
          </w:tcPr>
          <w:p w:rsidR="00CC510A" w:rsidRPr="005C042E" w:rsidRDefault="00CC510A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Забезпечити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консолідацію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проводок з НБУ</w:t>
            </w:r>
          </w:p>
        </w:tc>
      </w:tr>
      <w:tr w:rsidR="009D06CB" w:rsidRPr="005C042E" w:rsidTr="00A128FF">
        <w:tc>
          <w:tcPr>
            <w:tcW w:w="15276" w:type="dxa"/>
            <w:gridSpan w:val="2"/>
            <w:shd w:val="clear" w:color="auto" w:fill="BFBFBF" w:themeFill="background1" w:themeFillShade="BF"/>
          </w:tcPr>
          <w:p w:rsidR="009D06CB" w:rsidRPr="005C042E" w:rsidRDefault="00694056" w:rsidP="00B0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ПОСЛУГИ</w:t>
            </w:r>
          </w:p>
        </w:tc>
      </w:tr>
      <w:tr w:rsidR="009D06CB" w:rsidRPr="005C042E" w:rsidTr="00A128FF">
        <w:trPr>
          <w:trHeight w:val="322"/>
        </w:trPr>
        <w:tc>
          <w:tcPr>
            <w:tcW w:w="671" w:type="dxa"/>
          </w:tcPr>
          <w:p w:rsidR="009D06CB" w:rsidRPr="005C042E" w:rsidRDefault="009D06CB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9D06CB" w:rsidRPr="005C042E" w:rsidRDefault="00694056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Неправильно розраховується послуга «зберігання ЦП» в залежності від %</w:t>
            </w:r>
          </w:p>
        </w:tc>
      </w:tr>
      <w:tr w:rsidR="009D06CB" w:rsidRPr="005C042E" w:rsidTr="00A128FF">
        <w:tc>
          <w:tcPr>
            <w:tcW w:w="671" w:type="dxa"/>
          </w:tcPr>
          <w:p w:rsidR="009D06CB" w:rsidRPr="005C042E" w:rsidRDefault="009D06CB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9D06CB" w:rsidRPr="005C042E" w:rsidRDefault="00635870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 розрахунку тарифів пропонуємо виводити повну інформацію по рахунку – скільки та за яку операцію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нараховано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оплату</w:t>
            </w:r>
          </w:p>
        </w:tc>
      </w:tr>
      <w:tr w:rsidR="00635870" w:rsidRPr="005C042E" w:rsidTr="00A128FF">
        <w:tc>
          <w:tcPr>
            <w:tcW w:w="671" w:type="dxa"/>
          </w:tcPr>
          <w:p w:rsidR="00635870" w:rsidRPr="005C042E" w:rsidRDefault="00635870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635870" w:rsidRPr="005C042E" w:rsidRDefault="0035625A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Доповнити модуль розрахунку тарифів можливіст</w:t>
            </w:r>
            <w:r w:rsidR="00595AA4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фіксованої абонентської плати за зберігання ЦП</w:t>
            </w:r>
            <w:r w:rsidR="00595AA4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випадку наявності ЦП на рахунку. На даний час існує тільки можливість виставляти граничні тарифи та відсоток від номіналу. </w:t>
            </w:r>
          </w:p>
        </w:tc>
      </w:tr>
      <w:tr w:rsidR="009D06CB" w:rsidRPr="005C042E" w:rsidTr="00A128FF">
        <w:trPr>
          <w:trHeight w:val="77"/>
        </w:trPr>
        <w:tc>
          <w:tcPr>
            <w:tcW w:w="15276" w:type="dxa"/>
            <w:gridSpan w:val="2"/>
            <w:shd w:val="clear" w:color="auto" w:fill="BFBFBF" w:themeFill="background1" w:themeFillShade="BF"/>
          </w:tcPr>
          <w:p w:rsidR="009D06CB" w:rsidRPr="005C042E" w:rsidRDefault="009D06CB" w:rsidP="00B0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ІНШЕ</w:t>
            </w:r>
          </w:p>
        </w:tc>
      </w:tr>
      <w:tr w:rsidR="009D06CB" w:rsidRPr="005C042E" w:rsidTr="00A128FF">
        <w:trPr>
          <w:trHeight w:val="77"/>
        </w:trPr>
        <w:tc>
          <w:tcPr>
            <w:tcW w:w="671" w:type="dxa"/>
          </w:tcPr>
          <w:p w:rsidR="009D06CB" w:rsidRPr="005C042E" w:rsidRDefault="009D06CB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9D06CB" w:rsidRPr="005C042E" w:rsidRDefault="00DE6895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функцію автоматичної звірки балансу між ЦД та ДУ в програмному модулі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Оберон</w:t>
            </w:r>
            <w:proofErr w:type="spellEnd"/>
          </w:p>
        </w:tc>
      </w:tr>
      <w:tr w:rsidR="00595AA4" w:rsidRPr="005C042E" w:rsidTr="00A128FF">
        <w:trPr>
          <w:trHeight w:val="77"/>
        </w:trPr>
        <w:tc>
          <w:tcPr>
            <w:tcW w:w="671" w:type="dxa"/>
          </w:tcPr>
          <w:p w:rsidR="00595AA4" w:rsidRPr="005C042E" w:rsidRDefault="00595AA4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595AA4" w:rsidRPr="005C042E" w:rsidRDefault="00506DEC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Реалізувати винесення терміналу зв’язку в окремий модуль та надати можливість автономної роботи зв’язку без необхідності постійного контролю та перезавантажень</w:t>
            </w:r>
          </w:p>
        </w:tc>
      </w:tr>
      <w:tr w:rsidR="00595AA4" w:rsidRPr="005C042E" w:rsidTr="00A128FF">
        <w:trPr>
          <w:trHeight w:val="77"/>
        </w:trPr>
        <w:tc>
          <w:tcPr>
            <w:tcW w:w="671" w:type="dxa"/>
          </w:tcPr>
          <w:p w:rsidR="00595AA4" w:rsidRPr="005C042E" w:rsidRDefault="00595AA4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595AA4" w:rsidRPr="005C042E" w:rsidRDefault="00506DEC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Розмежувати права користувачів на перегляд/запис/зміни інформації засобами програмного комплексу</w:t>
            </w:r>
          </w:p>
        </w:tc>
      </w:tr>
      <w:tr w:rsidR="00506DEC" w:rsidRPr="005C042E" w:rsidTr="00A128FF">
        <w:trPr>
          <w:trHeight w:val="77"/>
        </w:trPr>
        <w:tc>
          <w:tcPr>
            <w:tcW w:w="671" w:type="dxa"/>
          </w:tcPr>
          <w:p w:rsidR="00506DEC" w:rsidRPr="005C042E" w:rsidRDefault="00506DEC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506DEC" w:rsidRPr="005C042E" w:rsidRDefault="00A87583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сумісності модуля депозитарної установи з платформою Windows 7 x32(x64) без застосування віртуалізації (режим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Хр-Mode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Windows Server 2008 R2</w:t>
            </w:r>
          </w:p>
        </w:tc>
      </w:tr>
      <w:tr w:rsidR="00506DEC" w:rsidRPr="005C042E" w:rsidTr="00A128FF">
        <w:trPr>
          <w:trHeight w:val="77"/>
        </w:trPr>
        <w:tc>
          <w:tcPr>
            <w:tcW w:w="671" w:type="dxa"/>
          </w:tcPr>
          <w:p w:rsidR="00506DEC" w:rsidRPr="005C042E" w:rsidRDefault="00506DEC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506DEC" w:rsidRPr="005C042E" w:rsidRDefault="00D06206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сумісності роботи сайт</w:t>
            </w:r>
            <w:r w:rsidR="00F85618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Центра сертифікації ключів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ca.ndu.gov.ua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різними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веб-браузерами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останніх версій (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Mozilla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Firefox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Chrome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Opera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Internet Explorer 8-10)</w:t>
            </w:r>
          </w:p>
        </w:tc>
      </w:tr>
      <w:tr w:rsidR="00F85618" w:rsidRPr="005C042E" w:rsidTr="00A128FF">
        <w:trPr>
          <w:trHeight w:val="77"/>
        </w:trPr>
        <w:tc>
          <w:tcPr>
            <w:tcW w:w="671" w:type="dxa"/>
          </w:tcPr>
          <w:p w:rsidR="00F85618" w:rsidRPr="005C042E" w:rsidRDefault="00F85618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F85618" w:rsidRPr="005C042E" w:rsidRDefault="00F85618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Запровадити повідомлення про оновлення системи, які будуть проводитись в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позаопераційний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час</w:t>
            </w:r>
          </w:p>
        </w:tc>
      </w:tr>
      <w:tr w:rsidR="00F85618" w:rsidRPr="005C042E" w:rsidTr="00A128FF">
        <w:trPr>
          <w:trHeight w:val="77"/>
        </w:trPr>
        <w:tc>
          <w:tcPr>
            <w:tcW w:w="671" w:type="dxa"/>
          </w:tcPr>
          <w:p w:rsidR="00F85618" w:rsidRPr="005C042E" w:rsidRDefault="00F85618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F85618" w:rsidRPr="005C042E" w:rsidRDefault="000310A2" w:rsidP="00CF450B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Додати функцію відстеження строків дії довіреностей керуючих рахунком або повірених для нерезидентів та оповіщення програмним комплек</w:t>
            </w:r>
            <w:r w:rsidR="00CF450B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 про закінчення строку дії повноважень керуючого</w:t>
            </w:r>
            <w:bookmarkStart w:id="0" w:name="_GoBack"/>
            <w:bookmarkEnd w:id="0"/>
          </w:p>
        </w:tc>
      </w:tr>
      <w:tr w:rsidR="00E130B0" w:rsidRPr="005C042E" w:rsidTr="00A128FF">
        <w:trPr>
          <w:trHeight w:val="77"/>
        </w:trPr>
        <w:tc>
          <w:tcPr>
            <w:tcW w:w="671" w:type="dxa"/>
          </w:tcPr>
          <w:p w:rsidR="00E130B0" w:rsidRPr="005C042E" w:rsidRDefault="00E130B0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05" w:type="dxa"/>
          </w:tcPr>
          <w:p w:rsidR="00E130B0" w:rsidRPr="005C042E" w:rsidRDefault="00E130B0" w:rsidP="00E130B0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Реалізувати автоматизоване підтвердження успішної обробки файлу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 w:rsidR="00B9168E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тингу</w:t>
            </w:r>
            <w:proofErr w:type="spellEnd"/>
            <w:r w:rsidR="001068E1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щоб депозит</w:t>
            </w:r>
            <w:r w:rsidR="00B9168E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1068E1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рна установа отримувала квитанцію (або інше підтвердження) того, що ЦД отримав від ДУ файл-відповідь. На сьогодні для того, щоб впевнитися, що ЦД «бачить» оброблений файл, необхідно телефонувати в НДУ та запитувати про це. </w:t>
            </w:r>
            <w:r w:rsidR="00B9168E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Незважаючи</w:t>
            </w:r>
            <w:r w:rsidR="001068E1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те, що в клієнтському терміна</w:t>
            </w:r>
            <w:r w:rsidR="00B9168E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 після обробки файлу </w:t>
            </w:r>
            <w:proofErr w:type="spellStart"/>
            <w:r w:rsidR="00B9168E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неттингу</w:t>
            </w:r>
            <w:proofErr w:type="spellEnd"/>
            <w:r w:rsidR="00B9168E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з’являється рядок «Відіслано сеанс», було не раз відмічено, що ЦД не бачить завершення проводок ЦД.</w:t>
            </w:r>
            <w:r w:rsidR="001068E1" w:rsidRPr="005C04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D0795" w:rsidRPr="005C042E" w:rsidTr="00A128FF">
        <w:trPr>
          <w:trHeight w:val="77"/>
        </w:trPr>
        <w:tc>
          <w:tcPr>
            <w:tcW w:w="671" w:type="dxa"/>
          </w:tcPr>
          <w:p w:rsidR="002D0795" w:rsidRPr="005C042E" w:rsidRDefault="002D0795" w:rsidP="00CF450B">
            <w:pPr>
              <w:pStyle w:val="a4"/>
              <w:numPr>
                <w:ilvl w:val="0"/>
                <w:numId w:val="2"/>
              </w:numPr>
              <w:spacing w:afterLines="60" w:after="144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5" w:type="dxa"/>
          </w:tcPr>
          <w:p w:rsidR="002D0795" w:rsidRPr="005C042E" w:rsidRDefault="002D0795" w:rsidP="00E130B0">
            <w:pPr>
              <w:spacing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Додати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статистику за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власниками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володіють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істотною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участю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у СК (% </w:t>
            </w:r>
            <w:proofErr w:type="spell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  <w:proofErr w:type="gramStart"/>
            <w:r w:rsidRPr="005C042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</w:tbl>
    <w:p w:rsidR="007F1DA5" w:rsidRPr="00506DEC" w:rsidRDefault="007F1DA5"/>
    <w:sectPr w:rsidR="007F1DA5" w:rsidRPr="00506DEC" w:rsidSect="003070B3">
      <w:footerReference w:type="default" r:id="rId8"/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902" w:rsidRDefault="00623902" w:rsidP="00F07B9C">
      <w:pPr>
        <w:spacing w:after="0" w:line="240" w:lineRule="auto"/>
      </w:pPr>
      <w:r>
        <w:separator/>
      </w:r>
    </w:p>
  </w:endnote>
  <w:endnote w:type="continuationSeparator" w:id="0">
    <w:p w:rsidR="00623902" w:rsidRDefault="00623902" w:rsidP="00F0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212704"/>
      <w:docPartObj>
        <w:docPartGallery w:val="Page Numbers (Bottom of Page)"/>
        <w:docPartUnique/>
      </w:docPartObj>
    </w:sdtPr>
    <w:sdtEndPr/>
    <w:sdtContent>
      <w:p w:rsidR="00F07B9C" w:rsidRDefault="00F07B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42E" w:rsidRPr="005C042E">
          <w:rPr>
            <w:noProof/>
            <w:lang w:val="ru-RU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902" w:rsidRDefault="00623902" w:rsidP="00F07B9C">
      <w:pPr>
        <w:spacing w:after="0" w:line="240" w:lineRule="auto"/>
      </w:pPr>
      <w:r>
        <w:separator/>
      </w:r>
    </w:p>
  </w:footnote>
  <w:footnote w:type="continuationSeparator" w:id="0">
    <w:p w:rsidR="00623902" w:rsidRDefault="00623902" w:rsidP="00F07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16C"/>
    <w:multiLevelType w:val="hybridMultilevel"/>
    <w:tmpl w:val="FAE49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17F45"/>
    <w:multiLevelType w:val="hybridMultilevel"/>
    <w:tmpl w:val="8B467D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B3"/>
    <w:rsid w:val="00002428"/>
    <w:rsid w:val="000310A2"/>
    <w:rsid w:val="00036B41"/>
    <w:rsid w:val="000455D6"/>
    <w:rsid w:val="00052AF8"/>
    <w:rsid w:val="000910B5"/>
    <w:rsid w:val="000B18A4"/>
    <w:rsid w:val="000C6F47"/>
    <w:rsid w:val="000D4F0C"/>
    <w:rsid w:val="000E16AF"/>
    <w:rsid w:val="000E5A08"/>
    <w:rsid w:val="000F71C8"/>
    <w:rsid w:val="001055FB"/>
    <w:rsid w:val="001068E1"/>
    <w:rsid w:val="00126F9B"/>
    <w:rsid w:val="00143062"/>
    <w:rsid w:val="001642B2"/>
    <w:rsid w:val="0017010D"/>
    <w:rsid w:val="0017646C"/>
    <w:rsid w:val="00184F9C"/>
    <w:rsid w:val="001A23F7"/>
    <w:rsid w:val="001C1035"/>
    <w:rsid w:val="001F5CC1"/>
    <w:rsid w:val="00232215"/>
    <w:rsid w:val="0025233C"/>
    <w:rsid w:val="00252AE2"/>
    <w:rsid w:val="00253A86"/>
    <w:rsid w:val="0025744F"/>
    <w:rsid w:val="00286027"/>
    <w:rsid w:val="002B5575"/>
    <w:rsid w:val="002B5610"/>
    <w:rsid w:val="002D0795"/>
    <w:rsid w:val="002D1A9C"/>
    <w:rsid w:val="002F52D8"/>
    <w:rsid w:val="00300399"/>
    <w:rsid w:val="00303305"/>
    <w:rsid w:val="003070B3"/>
    <w:rsid w:val="003079D2"/>
    <w:rsid w:val="0035625A"/>
    <w:rsid w:val="00373187"/>
    <w:rsid w:val="00377199"/>
    <w:rsid w:val="003A078C"/>
    <w:rsid w:val="0041294C"/>
    <w:rsid w:val="00417F5E"/>
    <w:rsid w:val="00427C29"/>
    <w:rsid w:val="00496676"/>
    <w:rsid w:val="00502200"/>
    <w:rsid w:val="00506DEC"/>
    <w:rsid w:val="005178B3"/>
    <w:rsid w:val="00532DEF"/>
    <w:rsid w:val="00540F47"/>
    <w:rsid w:val="00546D62"/>
    <w:rsid w:val="0057076A"/>
    <w:rsid w:val="00571563"/>
    <w:rsid w:val="005716D0"/>
    <w:rsid w:val="00595AA4"/>
    <w:rsid w:val="005C042E"/>
    <w:rsid w:val="005F108B"/>
    <w:rsid w:val="00604EB2"/>
    <w:rsid w:val="00610649"/>
    <w:rsid w:val="00623902"/>
    <w:rsid w:val="00635870"/>
    <w:rsid w:val="006408C7"/>
    <w:rsid w:val="0067689D"/>
    <w:rsid w:val="0069101F"/>
    <w:rsid w:val="00693E8C"/>
    <w:rsid w:val="00694056"/>
    <w:rsid w:val="006A1190"/>
    <w:rsid w:val="006A1C42"/>
    <w:rsid w:val="006B1C3E"/>
    <w:rsid w:val="006B67D4"/>
    <w:rsid w:val="006C3B6A"/>
    <w:rsid w:val="006E565D"/>
    <w:rsid w:val="006E7014"/>
    <w:rsid w:val="006F60AC"/>
    <w:rsid w:val="006F6100"/>
    <w:rsid w:val="007073E5"/>
    <w:rsid w:val="00744808"/>
    <w:rsid w:val="00763965"/>
    <w:rsid w:val="007A15FF"/>
    <w:rsid w:val="007A4577"/>
    <w:rsid w:val="007A60F2"/>
    <w:rsid w:val="007B621D"/>
    <w:rsid w:val="007C0852"/>
    <w:rsid w:val="007D3A51"/>
    <w:rsid w:val="007E1FC3"/>
    <w:rsid w:val="007F18BA"/>
    <w:rsid w:val="007F1DA5"/>
    <w:rsid w:val="00805D04"/>
    <w:rsid w:val="00813040"/>
    <w:rsid w:val="008218FB"/>
    <w:rsid w:val="00831A8A"/>
    <w:rsid w:val="00831C93"/>
    <w:rsid w:val="00832310"/>
    <w:rsid w:val="00854B58"/>
    <w:rsid w:val="008677D8"/>
    <w:rsid w:val="008B0965"/>
    <w:rsid w:val="008B412C"/>
    <w:rsid w:val="008D71E0"/>
    <w:rsid w:val="008F4F1A"/>
    <w:rsid w:val="00916E1A"/>
    <w:rsid w:val="00925A48"/>
    <w:rsid w:val="009338A2"/>
    <w:rsid w:val="00940CDE"/>
    <w:rsid w:val="00944101"/>
    <w:rsid w:val="009930AE"/>
    <w:rsid w:val="009A518B"/>
    <w:rsid w:val="009C2649"/>
    <w:rsid w:val="009D06CB"/>
    <w:rsid w:val="009F5E8B"/>
    <w:rsid w:val="00A02148"/>
    <w:rsid w:val="00A128FF"/>
    <w:rsid w:val="00A17FAA"/>
    <w:rsid w:val="00A2066B"/>
    <w:rsid w:val="00A258ED"/>
    <w:rsid w:val="00A3650C"/>
    <w:rsid w:val="00A643AB"/>
    <w:rsid w:val="00A64DCD"/>
    <w:rsid w:val="00A6542E"/>
    <w:rsid w:val="00A84306"/>
    <w:rsid w:val="00A87583"/>
    <w:rsid w:val="00A936D0"/>
    <w:rsid w:val="00AB2E4E"/>
    <w:rsid w:val="00B05A44"/>
    <w:rsid w:val="00B07692"/>
    <w:rsid w:val="00B22092"/>
    <w:rsid w:val="00B36CC3"/>
    <w:rsid w:val="00B45B76"/>
    <w:rsid w:val="00B624E7"/>
    <w:rsid w:val="00B9168E"/>
    <w:rsid w:val="00BA3FDF"/>
    <w:rsid w:val="00BA6479"/>
    <w:rsid w:val="00BB6C3E"/>
    <w:rsid w:val="00BF7D53"/>
    <w:rsid w:val="00C06F17"/>
    <w:rsid w:val="00C7449F"/>
    <w:rsid w:val="00C74F70"/>
    <w:rsid w:val="00C76484"/>
    <w:rsid w:val="00CA7D4F"/>
    <w:rsid w:val="00CC1BFE"/>
    <w:rsid w:val="00CC3FB3"/>
    <w:rsid w:val="00CC510A"/>
    <w:rsid w:val="00CD480B"/>
    <w:rsid w:val="00CE3B95"/>
    <w:rsid w:val="00CE6536"/>
    <w:rsid w:val="00CF4394"/>
    <w:rsid w:val="00CF450B"/>
    <w:rsid w:val="00D02736"/>
    <w:rsid w:val="00D06206"/>
    <w:rsid w:val="00D12D19"/>
    <w:rsid w:val="00D30C0A"/>
    <w:rsid w:val="00D46A5C"/>
    <w:rsid w:val="00D5432D"/>
    <w:rsid w:val="00D600EE"/>
    <w:rsid w:val="00D74A78"/>
    <w:rsid w:val="00D93D64"/>
    <w:rsid w:val="00D9550C"/>
    <w:rsid w:val="00D976F0"/>
    <w:rsid w:val="00DB1892"/>
    <w:rsid w:val="00DB245C"/>
    <w:rsid w:val="00DB4626"/>
    <w:rsid w:val="00DB7249"/>
    <w:rsid w:val="00DC4CE0"/>
    <w:rsid w:val="00DD5ADE"/>
    <w:rsid w:val="00DD682B"/>
    <w:rsid w:val="00DE6895"/>
    <w:rsid w:val="00DF68B9"/>
    <w:rsid w:val="00E10558"/>
    <w:rsid w:val="00E130B0"/>
    <w:rsid w:val="00E230E0"/>
    <w:rsid w:val="00E64F95"/>
    <w:rsid w:val="00E72608"/>
    <w:rsid w:val="00E755D5"/>
    <w:rsid w:val="00E9077A"/>
    <w:rsid w:val="00E9086E"/>
    <w:rsid w:val="00EB7644"/>
    <w:rsid w:val="00EC27C5"/>
    <w:rsid w:val="00EF0411"/>
    <w:rsid w:val="00EF4C20"/>
    <w:rsid w:val="00EF63A0"/>
    <w:rsid w:val="00F00969"/>
    <w:rsid w:val="00F07B9C"/>
    <w:rsid w:val="00F23F53"/>
    <w:rsid w:val="00F321A6"/>
    <w:rsid w:val="00F45B6C"/>
    <w:rsid w:val="00F45DE5"/>
    <w:rsid w:val="00F5562A"/>
    <w:rsid w:val="00F63FC1"/>
    <w:rsid w:val="00F733BC"/>
    <w:rsid w:val="00F85618"/>
    <w:rsid w:val="00F908B7"/>
    <w:rsid w:val="00F93201"/>
    <w:rsid w:val="00FB6952"/>
    <w:rsid w:val="00FB7969"/>
    <w:rsid w:val="00FC380E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0B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45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7B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7B9C"/>
  </w:style>
  <w:style w:type="paragraph" w:styleId="a7">
    <w:name w:val="footer"/>
    <w:basedOn w:val="a"/>
    <w:link w:val="a8"/>
    <w:uiPriority w:val="99"/>
    <w:unhideWhenUsed/>
    <w:rsid w:val="00F07B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7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0B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45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7B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7B9C"/>
  </w:style>
  <w:style w:type="paragraph" w:styleId="a7">
    <w:name w:val="footer"/>
    <w:basedOn w:val="a"/>
    <w:link w:val="a8"/>
    <w:uiPriority w:val="99"/>
    <w:unhideWhenUsed/>
    <w:rsid w:val="00F07B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7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7520</Words>
  <Characters>4287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Лапшова Елена</dc:creator>
  <cp:lastModifiedBy>Лапшова Елена</cp:lastModifiedBy>
  <cp:revision>49</cp:revision>
  <dcterms:created xsi:type="dcterms:W3CDTF">2013-11-07T13:30:00Z</dcterms:created>
  <dcterms:modified xsi:type="dcterms:W3CDTF">2013-11-15T08:22:00Z</dcterms:modified>
</cp:coreProperties>
</file>