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7C11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914400"/>
            <wp:effectExtent l="0" t="0" r="0" b="0"/>
            <wp:docPr id="1" name="Рисунок 1" descr="C:\Users\e.lapshova\AppData\Roaming\Liga70\Client\Session\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.lapshova\AppData\Roaming\Liga70\Client\Session\TSIGN.GIF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F7C11">
      <w:pPr>
        <w:pStyle w:val="a3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НАЦІОНАЛЬНИЙ БАНК УКРАЇНИ</w:t>
      </w:r>
    </w:p>
    <w:p w:rsidR="00000000" w:rsidRDefault="009F7C1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ЛИСТ</w:t>
      </w:r>
    </w:p>
    <w:p w:rsidR="00000000" w:rsidRDefault="009F7C11">
      <w:pPr>
        <w:pStyle w:val="a3"/>
        <w:jc w:val="center"/>
      </w:pPr>
      <w:r>
        <w:rPr>
          <w:b/>
          <w:bCs/>
        </w:rPr>
        <w:t>від 08.11.2013 р. N 11-117/21669</w:t>
      </w:r>
    </w:p>
    <w:p w:rsidR="00000000" w:rsidRDefault="009F7C11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Роз'яснення щодо обмеження готівкових розрахунків</w:t>
      </w:r>
    </w:p>
    <w:p w:rsidR="00000000" w:rsidRDefault="009F7C11">
      <w:pPr>
        <w:pStyle w:val="a3"/>
        <w:jc w:val="center"/>
      </w:pPr>
      <w:r>
        <w:rPr>
          <w:b/>
          <w:bCs/>
        </w:rPr>
        <w:t>(Витяг)</w:t>
      </w:r>
    </w:p>
    <w:p w:rsidR="00000000" w:rsidRDefault="009F7C11">
      <w:pPr>
        <w:pStyle w:val="a3"/>
        <w:jc w:val="both"/>
      </w:pPr>
      <w:r>
        <w:t xml:space="preserve">&lt;...&gt; Обмеження граничної суми розрахунків готівкою встановлено </w:t>
      </w:r>
      <w:r>
        <w:rPr>
          <w:color w:val="0000FF"/>
        </w:rPr>
        <w:t>пунктом 1 постанови N 210</w:t>
      </w:r>
      <w:r>
        <w:t>, зокрема, щодо обмеження готівкових розрахунків протягом одного дня за товари (роботи, послуги) у розмірі 150000 (ста п'ятдесяти тисяч) гривень між підприємством (підприємцем) та фізичною особою стосуються розрахунків як фізичної особи - платника з підпри</w:t>
      </w:r>
      <w:r>
        <w:t>ємством (підприємцем) - отримувачем, так і розрахунків підприємства (підприємця) - платника з фізичною особою - отримувачем.</w:t>
      </w:r>
    </w:p>
    <w:p w:rsidR="00000000" w:rsidRDefault="009F7C11">
      <w:pPr>
        <w:pStyle w:val="a3"/>
        <w:jc w:val="both"/>
      </w:pPr>
      <w:r>
        <w:t xml:space="preserve">Встановлені </w:t>
      </w:r>
      <w:r>
        <w:rPr>
          <w:color w:val="0000FF"/>
        </w:rPr>
        <w:t>постановою N 210</w:t>
      </w:r>
      <w:r>
        <w:t xml:space="preserve"> і </w:t>
      </w:r>
      <w:r>
        <w:rPr>
          <w:color w:val="0000FF"/>
        </w:rPr>
        <w:t>Положенням N 637</w:t>
      </w:r>
      <w:r>
        <w:t xml:space="preserve"> вимоги стосуються розрахунків за товари (роботи та послуги). Відповідно до </w:t>
      </w:r>
      <w:r>
        <w:rPr>
          <w:color w:val="0000FF"/>
        </w:rPr>
        <w:t>статті 1</w:t>
      </w:r>
      <w:r>
        <w:rPr>
          <w:color w:val="0000FF"/>
        </w:rPr>
        <w:t xml:space="preserve"> Закону України "Про захист економічної конкуренції"</w:t>
      </w:r>
      <w:r>
        <w:t xml:space="preserve"> товаром є будь-який предмет господарського обороту, в тому числі продукція, роботи, послуги, документи, що підтверджують зобов'язання та права (зокрема цінні папери). </w:t>
      </w:r>
      <w:r>
        <w:rPr>
          <w:color w:val="0000FF"/>
        </w:rPr>
        <w:t>Статтею 3 Господарського кодексу Укр</w:t>
      </w:r>
      <w:r>
        <w:rPr>
          <w:color w:val="0000FF"/>
        </w:rPr>
        <w:t>аїни</w:t>
      </w:r>
      <w:r>
        <w:t xml:space="preserve"> передбачено, що господарською діяльністю визнається діяльність суб'єктів господарювання у сфері суспільного виробництва, спрямована на виготовлення та реалізацію продукції, виконання робіт чи надання послуг вартісного характеру, що мають цінову визнач</w:t>
      </w:r>
      <w:r>
        <w:t>еність.</w:t>
      </w:r>
    </w:p>
    <w:p w:rsidR="00000000" w:rsidRDefault="009F7C11">
      <w:pPr>
        <w:pStyle w:val="a3"/>
        <w:jc w:val="both"/>
      </w:pPr>
      <w:r>
        <w:t>Враховуючи наведене, встановлені Національним банком України вимоги поширюються на розрахунки за правочинами за участю суб'єктів господарювання, предметом яких є будь-які матеріальні та нематеріальні блага, які можуть бути оцінені в грошовій формі.</w:t>
      </w:r>
    </w:p>
    <w:p w:rsidR="00000000" w:rsidRDefault="009F7C11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000000">
        <w:trPr>
          <w:tblCellSpacing w:w="22" w:type="dxa"/>
        </w:trPr>
        <w:tc>
          <w:tcPr>
            <w:tcW w:w="2500" w:type="pct"/>
            <w:hideMark/>
          </w:tcPr>
          <w:p w:rsidR="00000000" w:rsidRDefault="009F7C11">
            <w:pPr>
              <w:pStyle w:val="a3"/>
              <w:jc w:val="center"/>
            </w:pPr>
            <w:r>
              <w:rPr>
                <w:b/>
                <w:bCs/>
              </w:rPr>
              <w:t>Заступник Голови</w:t>
            </w:r>
            <w:r>
              <w:br/>
            </w:r>
            <w:r>
              <w:rPr>
                <w:b/>
                <w:bCs/>
              </w:rPr>
              <w:t>Національного банку України</w:t>
            </w:r>
          </w:p>
        </w:tc>
        <w:tc>
          <w:tcPr>
            <w:tcW w:w="2500" w:type="pct"/>
            <w:vAlign w:val="bottom"/>
            <w:hideMark/>
          </w:tcPr>
          <w:p w:rsidR="00000000" w:rsidRDefault="009F7C11">
            <w:pPr>
              <w:pStyle w:val="a3"/>
              <w:jc w:val="center"/>
            </w:pPr>
            <w:r>
              <w:rPr>
                <w:b/>
                <w:bCs/>
              </w:rPr>
              <w:t>В. Ричаківська</w:t>
            </w:r>
          </w:p>
        </w:tc>
      </w:tr>
    </w:tbl>
    <w:p w:rsidR="00000000" w:rsidRDefault="009F7C11">
      <w:pPr>
        <w:pStyle w:val="a3"/>
        <w:jc w:val="both"/>
      </w:pPr>
      <w:r>
        <w:br w:type="textWrapping" w:clear="all"/>
      </w:r>
    </w:p>
    <w:p w:rsidR="00000000" w:rsidRDefault="009F7C11">
      <w:pPr>
        <w:pStyle w:val="a3"/>
        <w:jc w:val="both"/>
      </w:pPr>
      <w: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4"/>
        <w:gridCol w:w="1185"/>
      </w:tblGrid>
      <w:tr w:rsidR="00000000">
        <w:trPr>
          <w:tblCellSpacing w:w="15" w:type="dxa"/>
        </w:trPr>
        <w:tc>
          <w:tcPr>
            <w:tcW w:w="4500" w:type="pct"/>
            <w:vAlign w:val="center"/>
            <w:hideMark/>
          </w:tcPr>
          <w:p w:rsidR="00000000" w:rsidRDefault="009F7C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© Інформаційно-аналітичний центр «ЛІГА», 1991 - 2013</w:t>
            </w:r>
            <w:r>
              <w:rPr>
                <w:rFonts w:eastAsia="Times New Roman"/>
              </w:rPr>
              <w:br/>
              <w:t>© ТОВ «ЛІГА:ЗАКОН», 2007 - 2013</w:t>
            </w:r>
          </w:p>
        </w:tc>
        <w:tc>
          <w:tcPr>
            <w:tcW w:w="500" w:type="pct"/>
            <w:vAlign w:val="center"/>
            <w:hideMark/>
          </w:tcPr>
          <w:p w:rsidR="00000000" w:rsidRDefault="009F7C11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695325" cy="314325"/>
                  <wp:effectExtent l="0" t="0" r="9525" b="9525"/>
                  <wp:docPr id="2" name="Рисунок 2" descr="C:\Users\e.lapshova\AppData\Roaming\Liga70\Client\Session\LOGOTY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.lapshova\AppData\Roaming\Liga70\Client\Session\LOGOTY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7C11" w:rsidRDefault="009F7C11">
      <w:pPr>
        <w:rPr>
          <w:rFonts w:eastAsia="Times New Roman"/>
        </w:rPr>
      </w:pPr>
    </w:p>
    <w:sectPr w:rsidR="009F7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E5662"/>
    <w:rsid w:val="001E5662"/>
    <w:rsid w:val="009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E5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6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E56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6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Users\e.lapshova\AppData\Roaming\Liga70\Client\Session\LOGOTYPE.BMP" TargetMode="External"/><Relationship Id="rId5" Type="http://schemas.openxmlformats.org/officeDocument/2006/relationships/image" Target="file:///C:\Users\e.lapshova\AppData\Roaming\Liga70\Client\Session\TSIGN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Лапшова Елена</dc:creator>
  <cp:lastModifiedBy>Лапшова Елена</cp:lastModifiedBy>
  <cp:revision>2</cp:revision>
  <dcterms:created xsi:type="dcterms:W3CDTF">2013-12-05T08:16:00Z</dcterms:created>
  <dcterms:modified xsi:type="dcterms:W3CDTF">2013-12-05T08:16:00Z</dcterms:modified>
</cp:coreProperties>
</file>