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008B">
      <w:pPr>
        <w:pStyle w:val="a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e.lapshova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apshova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3008B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МІНІСТЕРСТВО ДОХОДІВ І ЗБОРІВ УКРАЇНИ</w:t>
      </w:r>
    </w:p>
    <w:p w:rsidR="00000000" w:rsidRDefault="0063008B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ЛИСТ</w:t>
      </w:r>
    </w:p>
    <w:p w:rsidR="00000000" w:rsidRDefault="0063008B">
      <w:pPr>
        <w:pStyle w:val="a3"/>
        <w:jc w:val="center"/>
      </w:pPr>
      <w:r>
        <w:rPr>
          <w:b/>
          <w:bCs/>
        </w:rPr>
        <w:t>від 18.01.2014 р. N 1097/7/99-99-19-03-01-16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63008B">
            <w:pPr>
              <w:pStyle w:val="a3"/>
            </w:pPr>
            <w:r>
              <w:t>Начальникам ГУ Міндоходів в АР Крим, областях, мм. Києві та Севастополі, Міжрегіонального ГУ Міндоходів - ЦО з обслуговування великих платників</w:t>
            </w:r>
          </w:p>
        </w:tc>
      </w:tr>
    </w:tbl>
    <w:p w:rsidR="00000000" w:rsidRDefault="0063008B">
      <w:pPr>
        <w:pStyle w:val="a3"/>
        <w:jc w:val="center"/>
      </w:pPr>
      <w:r>
        <w:br w:type="textWrapping" w:clear="all"/>
      </w:r>
    </w:p>
    <w:p w:rsidR="00000000" w:rsidRDefault="0063008B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податкову звітність з податку на прибуток</w:t>
      </w:r>
    </w:p>
    <w:p w:rsidR="00000000" w:rsidRDefault="0063008B">
      <w:pPr>
        <w:pStyle w:val="a3"/>
        <w:jc w:val="both"/>
      </w:pPr>
      <w:r>
        <w:t>З метою належного адміністрування, правильного розрахунку податк</w:t>
      </w:r>
      <w:r>
        <w:t>ових зобов'язань та своєчасного надходження до бюджету податку на прибуток підприємств Міністерство доходів і зборів України повідомляє наступне.</w:t>
      </w:r>
    </w:p>
    <w:p w:rsidR="00000000" w:rsidRDefault="0063008B">
      <w:pPr>
        <w:pStyle w:val="a3"/>
        <w:jc w:val="both"/>
      </w:pPr>
      <w:r>
        <w:t xml:space="preserve">Протягом 2012 - 2013 років до </w:t>
      </w:r>
      <w:r>
        <w:rPr>
          <w:color w:val="0000FF"/>
        </w:rPr>
        <w:t>Податкового кодексу України</w:t>
      </w:r>
      <w:r>
        <w:t xml:space="preserve"> (далі - Кодекс) внесено ряд суттєвих змін та доповне</w:t>
      </w:r>
      <w:r>
        <w:t xml:space="preserve">нь, в тому числі пов'язаних з оподаткуванням прибутку підприємств. Крім того, положеннями </w:t>
      </w:r>
      <w:r>
        <w:rPr>
          <w:color w:val="0000FF"/>
        </w:rPr>
        <w:t>Закону України від 04 липня 2013 року N 404 "Про внесення змін до Податкового кодексу України у зв'язку з проведенням адміністративної реформи"</w:t>
      </w:r>
      <w:r>
        <w:t xml:space="preserve"> передбачено, що форма </w:t>
      </w:r>
      <w:r>
        <w:t>податкової декларації встановлюється центральним органом виконавчої влади, що забезпечує формування та реалізує державну податкову і митну політику.</w:t>
      </w:r>
    </w:p>
    <w:p w:rsidR="00000000" w:rsidRDefault="0063008B">
      <w:pPr>
        <w:pStyle w:val="a3"/>
        <w:jc w:val="both"/>
      </w:pPr>
      <w:r>
        <w:t>На теперішній час Міндоходів для державної реєстрації в Міністерство юстиції України направлено форми подат</w:t>
      </w:r>
      <w:r>
        <w:t>кових декларацій, які затверджено наказами від 16.12.2013 N 810 "Про затвердження форми Податкової декларації про результати спільної діяльності на території України без створення юридичної особи та Порядку ведення обліку результатів спільної діяльності на</w:t>
      </w:r>
      <w:r>
        <w:t xml:space="preserve"> території України без створення юридичної особи" (далі - Податкова декларація про спільну діяльність) та від 30.12.2013 N 872 "Про затвердження форми Податкової декларації з податку на прибуток підприємств" (далі - Податкова декларація підприємств).</w:t>
      </w:r>
    </w:p>
    <w:p w:rsidR="00000000" w:rsidRDefault="0063008B">
      <w:pPr>
        <w:pStyle w:val="a3"/>
        <w:jc w:val="both"/>
      </w:pPr>
      <w:r>
        <w:t>Проек</w:t>
      </w:r>
      <w:r>
        <w:t>ти форм податкових декларацій з податку на прибуток банку, з податку на доходи (прибуток) страховика, розрахунків податкових зобов'язань щодо сплати консолідованого податку на прибуток та з податку на прибуток нерезидентів, які провадять діяльність на тери</w:t>
      </w:r>
      <w:r>
        <w:t>торії України через постійне представництво, а також податкового звіту про використання коштів неприбутковими установами та організаціями на даний час узгоджуються з зацікавленими міністерствами і відомствами та після затвердження відповідними наказами Мін</w:t>
      </w:r>
      <w:r>
        <w:t>доходів найближчим часом будуть подані в Міністерство юстиції України для державної реєстрації.</w:t>
      </w:r>
    </w:p>
    <w:p w:rsidR="00000000" w:rsidRDefault="0063008B">
      <w:pPr>
        <w:pStyle w:val="a3"/>
        <w:jc w:val="both"/>
      </w:pPr>
      <w:r>
        <w:t xml:space="preserve">Показники податкових декларацій в повній мірі приведено у відповідність до внесених у </w:t>
      </w:r>
      <w:r>
        <w:rPr>
          <w:color w:val="0000FF"/>
        </w:rPr>
        <w:t>Кодекс</w:t>
      </w:r>
      <w:r>
        <w:t xml:space="preserve"> змін та доповнень. Зокрема, Податкова декларація підприємств містит</w:t>
      </w:r>
      <w:r>
        <w:t xml:space="preserve">ь чіткий </w:t>
      </w:r>
      <w:r>
        <w:lastRenderedPageBreak/>
        <w:t>розрахунок авансових внесків з податку на прибуток як для 2014 року, так і майбутніх звітних (податкових) років, та нову редакцію додатка ЦП "Операції з цінними паперами...", в якому враховуються показники доходів та витрат від операцій:</w:t>
      </w:r>
    </w:p>
    <w:p w:rsidR="00000000" w:rsidRDefault="0063008B">
      <w:pPr>
        <w:pStyle w:val="a3"/>
        <w:jc w:val="both"/>
      </w:pPr>
      <w:r>
        <w:t>- з цінни</w:t>
      </w:r>
      <w:r>
        <w:t>ми паперами, що перебувають / не перебувають в обігу на фондовій біржі (табл. 1 - 2);</w:t>
      </w:r>
    </w:p>
    <w:p w:rsidR="00000000" w:rsidRDefault="0063008B">
      <w:pPr>
        <w:pStyle w:val="a3"/>
        <w:jc w:val="both"/>
      </w:pPr>
      <w:r>
        <w:t>- з корпоративними правами в іншій, ніж цінні папери, формі та окремими видами цінних паперів (табл. 3);</w:t>
      </w:r>
    </w:p>
    <w:p w:rsidR="00000000" w:rsidRDefault="0063008B">
      <w:pPr>
        <w:pStyle w:val="a3"/>
        <w:jc w:val="both"/>
      </w:pPr>
      <w:r>
        <w:t>- з РЕПО та деривативами (табл. 4).</w:t>
      </w:r>
    </w:p>
    <w:p w:rsidR="00000000" w:rsidRDefault="0063008B">
      <w:pPr>
        <w:pStyle w:val="a3"/>
        <w:jc w:val="both"/>
      </w:pPr>
      <w:r>
        <w:t>Водночас податкові декларації</w:t>
      </w:r>
      <w:r>
        <w:t xml:space="preserve"> доповнено новим додатком ТЦ, в якому платником податку відображається "Самостійне, пропорційне та/або зворотне коригування податкових зобов'язань платника податку для цілей трансфертного ціноутворення".</w:t>
      </w:r>
    </w:p>
    <w:p w:rsidR="00000000" w:rsidRDefault="0063008B">
      <w:pPr>
        <w:pStyle w:val="a3"/>
        <w:jc w:val="both"/>
      </w:pPr>
      <w:r>
        <w:t xml:space="preserve">Удосконалено також окремі додатки, зокрема, додаток </w:t>
      </w:r>
      <w:r>
        <w:t>СБ "Суми врегулювання сумнівної та безнадійної заборгованості".</w:t>
      </w:r>
    </w:p>
    <w:p w:rsidR="00000000" w:rsidRDefault="0063008B">
      <w:pPr>
        <w:pStyle w:val="a3"/>
        <w:jc w:val="both"/>
      </w:pPr>
      <w:r>
        <w:t xml:space="preserve">Відповідно до абзацу другого </w:t>
      </w:r>
      <w:r>
        <w:rPr>
          <w:color w:val="0000FF"/>
        </w:rPr>
        <w:t>пункту 46.6 статті 46 Кодексу</w:t>
      </w:r>
      <w:r>
        <w:t xml:space="preserve"> до визначення нових форм декларацій (розрахунків), які набирають чинності для складання звітності за податковий період, що настає за </w:t>
      </w:r>
      <w:r>
        <w:t>податковим періодом, у якому відбулося їх оприлюднення, є чинними форми декларацій (розрахунків), чинні до такого визначення.</w:t>
      </w:r>
    </w:p>
    <w:p w:rsidR="00000000" w:rsidRDefault="0063008B">
      <w:pPr>
        <w:pStyle w:val="a3"/>
        <w:jc w:val="both"/>
      </w:pPr>
      <w:r>
        <w:t>Водночас, з урахуванням викладеного, Міністерство доходів і зборів України переконливо рекомендує платникам податку подавати подат</w:t>
      </w:r>
      <w:r>
        <w:t>кову звітність до територіальних органів Міністерства доходів і зборів України за звітний (податковий) 2013 рік за новими формами, оскільки це дозволить правильно визначити податкові зобов'язання з податку на прибуток, що відповідно запобігатиме виникненню</w:t>
      </w:r>
      <w:r>
        <w:t xml:space="preserve"> непорозумінь між контролюючими органами та платниками податків.</w:t>
      </w:r>
    </w:p>
    <w:p w:rsidR="00000000" w:rsidRDefault="0063008B">
      <w:pPr>
        <w:pStyle w:val="a3"/>
        <w:jc w:val="both"/>
      </w:pPr>
      <w:r>
        <w:t>У контексті вищенаведеного зазначаємо про таке:</w:t>
      </w:r>
    </w:p>
    <w:p w:rsidR="00000000" w:rsidRDefault="0063008B">
      <w:pPr>
        <w:pStyle w:val="a3"/>
        <w:jc w:val="both"/>
      </w:pPr>
      <w:r>
        <w:t xml:space="preserve">згідно з </w:t>
      </w:r>
      <w:r>
        <w:rPr>
          <w:color w:val="0000FF"/>
        </w:rPr>
        <w:t>пунктом 49.18 статті 49</w:t>
      </w:r>
      <w:r>
        <w:t xml:space="preserve"> та </w:t>
      </w:r>
      <w:r>
        <w:rPr>
          <w:color w:val="0000FF"/>
        </w:rPr>
        <w:t>пунктом 57.1 статті 57 Кодексу</w:t>
      </w:r>
      <w:r>
        <w:t xml:space="preserve"> </w:t>
      </w:r>
      <w:r>
        <w:t>податкові декларації подаються платниками податку на прибуток, базовим звітним (податковим) періодом для яких є:</w:t>
      </w:r>
    </w:p>
    <w:p w:rsidR="00000000" w:rsidRDefault="0063008B">
      <w:pPr>
        <w:pStyle w:val="a3"/>
        <w:jc w:val="both"/>
      </w:pPr>
      <w:r>
        <w:t xml:space="preserve">календарний квартал - протягом 40 календарних днів, що настають за останнім календарним днем звітного (податкового) кварталу (півріччя), тобто </w:t>
      </w:r>
      <w:r>
        <w:t>не пізніше 10 лютого 2014 року;</w:t>
      </w:r>
    </w:p>
    <w:p w:rsidR="00000000" w:rsidRDefault="0063008B">
      <w:pPr>
        <w:pStyle w:val="a3"/>
        <w:jc w:val="both"/>
      </w:pPr>
      <w:r>
        <w:t>календарний рік - протягом 60 календарних днів, що настають за останнім календарним днем звітного (податкового) року, тобто не пізніше 3 березня 2014 року.</w:t>
      </w:r>
    </w:p>
    <w:p w:rsidR="00000000" w:rsidRDefault="0063008B">
      <w:pPr>
        <w:pStyle w:val="a3"/>
        <w:jc w:val="both"/>
      </w:pPr>
      <w:r>
        <w:t xml:space="preserve">Виходячи з положень </w:t>
      </w:r>
      <w:r>
        <w:rPr>
          <w:color w:val="0000FF"/>
        </w:rPr>
        <w:t>пункту 46.2 статті 46 Кодексу</w:t>
      </w:r>
      <w:r>
        <w:t xml:space="preserve"> платник податку на</w:t>
      </w:r>
      <w:r>
        <w:t xml:space="preserve"> прибуток разом з річною </w:t>
      </w:r>
      <w:r>
        <w:rPr>
          <w:color w:val="0000FF"/>
        </w:rPr>
        <w:t>податковою декларацією</w:t>
      </w:r>
      <w:r>
        <w:t xml:space="preserve"> має подавати річну фінансову звітність у порядку, передбаченому для подання податкової декларації.</w:t>
      </w:r>
    </w:p>
    <w:p w:rsidR="00000000" w:rsidRDefault="0063008B">
      <w:pPr>
        <w:pStyle w:val="a3"/>
        <w:jc w:val="both"/>
      </w:pPr>
      <w:r>
        <w:t xml:space="preserve">Відповідно до </w:t>
      </w:r>
      <w:r>
        <w:rPr>
          <w:color w:val="0000FF"/>
        </w:rPr>
        <w:t>пункту 49.4 статті 49 Кодексу</w:t>
      </w:r>
      <w:r>
        <w:t xml:space="preserve"> платники податків, що належать до великих та середніх підприємств</w:t>
      </w:r>
      <w:r>
        <w:t>, подають податкові декларації до контролюючого органу в електронній формі з дотриманням умови щодо реєстрації електронного підпису підзвітних осіб у порядку, визначеному законодавством.</w:t>
      </w:r>
    </w:p>
    <w:p w:rsidR="00000000" w:rsidRDefault="0063008B">
      <w:pPr>
        <w:pStyle w:val="a3"/>
        <w:jc w:val="both"/>
      </w:pPr>
      <w:r>
        <w:t>У зв'язку з цим зобов'язую начальників Головних управлінь Міністерств</w:t>
      </w:r>
      <w:r>
        <w:t xml:space="preserve">а доходів і зборів в АР Крим, областях, містах Києві та Севастополі, Міжрегіонального головного управління </w:t>
      </w:r>
      <w:r>
        <w:lastRenderedPageBreak/>
        <w:t xml:space="preserve">Міндоходів - Центрального офісу з обслуговування великих платників довести зазначений лист до відома підпорядкованих органів Міндоходів та платників </w:t>
      </w:r>
      <w:r>
        <w:t>податку, а також провести організаційні заходи щодо роз'яснення переваг подання платниками податку податкової звітності в електронній формі.</w:t>
      </w:r>
    </w:p>
    <w:p w:rsidR="00000000" w:rsidRDefault="0063008B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63008B">
            <w:pPr>
              <w:pStyle w:val="a3"/>
              <w:jc w:val="center"/>
            </w:pPr>
            <w:r>
              <w:rPr>
                <w:b/>
                <w:bCs/>
              </w:rPr>
              <w:t>Заступник Міністра</w:t>
            </w:r>
          </w:p>
        </w:tc>
        <w:tc>
          <w:tcPr>
            <w:tcW w:w="2500" w:type="pct"/>
            <w:hideMark/>
          </w:tcPr>
          <w:p w:rsidR="00000000" w:rsidRDefault="0063008B">
            <w:pPr>
              <w:pStyle w:val="a3"/>
              <w:jc w:val="center"/>
            </w:pPr>
            <w:r>
              <w:rPr>
                <w:b/>
                <w:bCs/>
              </w:rPr>
              <w:t>А. П. Ігнатов</w:t>
            </w:r>
          </w:p>
        </w:tc>
      </w:tr>
    </w:tbl>
    <w:p w:rsidR="00000000" w:rsidRDefault="0063008B">
      <w:pPr>
        <w:pStyle w:val="a3"/>
        <w:jc w:val="both"/>
      </w:pPr>
      <w:r>
        <w:br w:type="textWrapping" w:clear="all"/>
      </w:r>
    </w:p>
    <w:p w:rsidR="00000000" w:rsidRDefault="0063008B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118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63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ТОВ "Інформаційно-аналітичний центр "ЛІГА", 2014</w:t>
            </w:r>
            <w:r>
              <w:rPr>
                <w:rFonts w:eastAsia="Times New Roman"/>
              </w:rPr>
              <w:br/>
              <w:t>© ТОВ "ЛІГА ЗАКОН</w:t>
            </w:r>
            <w:r>
              <w:rPr>
                <w:rFonts w:eastAsia="Times New Roman"/>
              </w:rPr>
              <w:t>", 2014</w:t>
            </w:r>
          </w:p>
        </w:tc>
        <w:tc>
          <w:tcPr>
            <w:tcW w:w="500" w:type="pct"/>
            <w:vAlign w:val="center"/>
            <w:hideMark/>
          </w:tcPr>
          <w:p w:rsidR="00000000" w:rsidRDefault="0063008B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0" t="0" r="9525" b="9525"/>
                  <wp:docPr id="2" name="Рисунок 2" descr="C:\Users\e.lapshova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.lapshova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008B" w:rsidRDefault="0063008B">
      <w:pPr>
        <w:rPr>
          <w:rFonts w:eastAsia="Times New Roman"/>
        </w:rPr>
      </w:pPr>
    </w:p>
    <w:sectPr w:rsidR="006300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F67FB"/>
    <w:rsid w:val="003F67FB"/>
    <w:rsid w:val="0063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F67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7F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F67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7F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e.lapshova\AppData\Roaming\Liga70\Client\Session\LOGOTYPE.BMP" TargetMode="External"/><Relationship Id="rId5" Type="http://schemas.openxmlformats.org/officeDocument/2006/relationships/image" Target="file:///C:\Users\e.lapshova\AppData\Roaming\Liga70\Client\Session\TSIGN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3600</Words>
  <Characters>2052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Елена</dc:creator>
  <cp:lastModifiedBy>Лапшова Елена</cp:lastModifiedBy>
  <cp:revision>2</cp:revision>
  <dcterms:created xsi:type="dcterms:W3CDTF">2014-01-23T09:54:00Z</dcterms:created>
  <dcterms:modified xsi:type="dcterms:W3CDTF">2014-01-23T09:54:00Z</dcterms:modified>
</cp:coreProperties>
</file>