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E0" w:rsidRPr="00BB50E0" w:rsidRDefault="00C1262B" w:rsidP="00BB50E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Довідка</w:t>
      </w:r>
      <w:r w:rsidR="00BB50E0" w:rsidRPr="00BB50E0">
        <w:rPr>
          <w:rFonts w:ascii="Times New Roman" w:hAnsi="Times New Roman" w:cs="Times New Roman"/>
          <w:b/>
          <w:sz w:val="26"/>
          <w:szCs w:val="26"/>
        </w:rPr>
        <w:t xml:space="preserve">  ПАРД/АФП для торговців цінними паперами по роботі з особами, що зареєстровані на території </w:t>
      </w:r>
      <w:r w:rsidR="00134A85">
        <w:rPr>
          <w:rFonts w:ascii="Times New Roman" w:hAnsi="Times New Roman" w:cs="Times New Roman"/>
          <w:b/>
          <w:sz w:val="26"/>
          <w:szCs w:val="26"/>
        </w:rPr>
        <w:t>АР</w:t>
      </w:r>
      <w:r w:rsidR="00BB50E0" w:rsidRPr="00BB50E0">
        <w:rPr>
          <w:rFonts w:ascii="Times New Roman" w:hAnsi="Times New Roman" w:cs="Times New Roman"/>
          <w:b/>
          <w:sz w:val="26"/>
          <w:szCs w:val="26"/>
        </w:rPr>
        <w:t xml:space="preserve"> Крим</w:t>
      </w:r>
      <w:r w:rsidR="00134A85">
        <w:rPr>
          <w:rFonts w:ascii="Times New Roman" w:hAnsi="Times New Roman" w:cs="Times New Roman"/>
          <w:b/>
          <w:sz w:val="26"/>
          <w:szCs w:val="26"/>
        </w:rPr>
        <w:t xml:space="preserve"> та м. Севастополя</w:t>
      </w:r>
      <w:bookmarkStart w:id="0" w:name="_GoBack"/>
      <w:bookmarkEnd w:id="0"/>
    </w:p>
    <w:p w:rsidR="00BB50E0" w:rsidRPr="00BB50E0" w:rsidRDefault="00BB50E0" w:rsidP="00BB50E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7F1DA5" w:rsidRDefault="00BB50E0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вересня 2014 року набрав чинності </w:t>
      </w:r>
      <w:hyperlink r:id="rId6" w:history="1">
        <w:r w:rsidR="00771D21" w:rsidRPr="009E4141">
          <w:rPr>
            <w:rStyle w:val="a3"/>
            <w:rFonts w:ascii="Times New Roman" w:hAnsi="Times New Roman" w:cs="Times New Roman"/>
            <w:sz w:val="26"/>
            <w:szCs w:val="26"/>
          </w:rPr>
          <w:t>Закон України  № 1636-VII</w:t>
        </w:r>
        <w:r w:rsidRPr="009E4141">
          <w:rPr>
            <w:rStyle w:val="a3"/>
            <w:rFonts w:ascii="Times New Roman" w:hAnsi="Times New Roman" w:cs="Times New Roman"/>
            <w:sz w:val="26"/>
            <w:szCs w:val="26"/>
          </w:rPr>
          <w:t xml:space="preserve"> від </w:t>
        </w:r>
        <w:r w:rsidR="00771D21" w:rsidRPr="009E4141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Pr="009E4141">
          <w:rPr>
            <w:rStyle w:val="a3"/>
            <w:rFonts w:ascii="Times New Roman" w:hAnsi="Times New Roman" w:cs="Times New Roman"/>
            <w:sz w:val="26"/>
            <w:szCs w:val="26"/>
          </w:rPr>
          <w:t xml:space="preserve">12 серпня 2014 року </w:t>
        </w:r>
        <w:r w:rsidR="00771D21" w:rsidRPr="009E4141">
          <w:rPr>
            <w:rStyle w:val="a3"/>
            <w:rFonts w:ascii="Times New Roman" w:hAnsi="Times New Roman" w:cs="Times New Roman"/>
            <w:sz w:val="26"/>
            <w:szCs w:val="26"/>
          </w:rPr>
          <w:t>«Про створення вільної економічної зони «Крим» та про особливості здійснення економічної діяльності на тимчасово окупованій території України»</w:t>
        </w:r>
      </w:hyperlink>
      <w:r w:rsidR="00D14B3C">
        <w:rPr>
          <w:rFonts w:ascii="Times New Roman" w:hAnsi="Times New Roman" w:cs="Times New Roman"/>
          <w:sz w:val="26"/>
          <w:szCs w:val="26"/>
        </w:rPr>
        <w:t xml:space="preserve"> (далі – Закон)</w:t>
      </w:r>
      <w:r w:rsidR="00771D21" w:rsidRPr="00BB50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141" w:rsidRDefault="009E4141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ПАРД та АФП проаналізували вимоги вказаного Закону та рекомендують торговцям цінними паперами при провадженні професійної діяльності враховувати </w:t>
      </w:r>
      <w:r w:rsidR="00C1262B">
        <w:rPr>
          <w:rFonts w:ascii="Times New Roman" w:hAnsi="Times New Roman" w:cs="Times New Roman"/>
          <w:sz w:val="26"/>
          <w:szCs w:val="26"/>
        </w:rPr>
        <w:t xml:space="preserve">та повідомляти своїм клієнтам та контрагентам, що зареєстровані на території АР Крим та м. Севастополя, </w:t>
      </w:r>
      <w:r>
        <w:rPr>
          <w:rFonts w:ascii="Times New Roman" w:hAnsi="Times New Roman" w:cs="Times New Roman"/>
          <w:sz w:val="26"/>
          <w:szCs w:val="26"/>
        </w:rPr>
        <w:t xml:space="preserve">наступне. </w:t>
      </w:r>
    </w:p>
    <w:p w:rsidR="009E4141" w:rsidRPr="00B33BF1" w:rsidRDefault="00B33BF1" w:rsidP="00B33BF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І. </w:t>
      </w:r>
      <w:r w:rsidR="009E4141" w:rsidRPr="00B33BF1">
        <w:rPr>
          <w:rFonts w:ascii="Times New Roman" w:hAnsi="Times New Roman" w:cs="Times New Roman"/>
          <w:b/>
          <w:sz w:val="26"/>
          <w:szCs w:val="26"/>
        </w:rPr>
        <w:t>Податкові наслідки</w:t>
      </w:r>
    </w:p>
    <w:p w:rsidR="009E4141" w:rsidRDefault="009E4141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роботі з клієнтами або контрагентами – фізичними та юридичними особами, </w:t>
      </w:r>
      <w:r w:rsidR="00D14B3C" w:rsidRPr="00D14B3C">
        <w:rPr>
          <w:rFonts w:ascii="Times New Roman" w:hAnsi="Times New Roman" w:cs="Times New Roman"/>
          <w:sz w:val="26"/>
          <w:szCs w:val="26"/>
        </w:rPr>
        <w:t xml:space="preserve">які мають податкову адресу на території ВЕЗ </w:t>
      </w:r>
      <w:r w:rsidR="00D14B3C">
        <w:rPr>
          <w:rFonts w:ascii="Times New Roman" w:hAnsi="Times New Roman" w:cs="Times New Roman"/>
          <w:sz w:val="26"/>
          <w:szCs w:val="26"/>
        </w:rPr>
        <w:t>«</w:t>
      </w:r>
      <w:r w:rsidR="00D14B3C" w:rsidRPr="00D14B3C">
        <w:rPr>
          <w:rFonts w:ascii="Times New Roman" w:hAnsi="Times New Roman" w:cs="Times New Roman"/>
          <w:sz w:val="26"/>
          <w:szCs w:val="26"/>
        </w:rPr>
        <w:t>Крим</w:t>
      </w:r>
      <w:r w:rsidR="00D14B3C">
        <w:rPr>
          <w:rFonts w:ascii="Times New Roman" w:hAnsi="Times New Roman" w:cs="Times New Roman"/>
          <w:sz w:val="26"/>
          <w:szCs w:val="26"/>
        </w:rPr>
        <w:t xml:space="preserve">», </w:t>
      </w:r>
      <w:r w:rsidR="00D14B3C" w:rsidRPr="008272CA">
        <w:rPr>
          <w:rFonts w:ascii="Times New Roman" w:hAnsi="Times New Roman" w:cs="Times New Roman"/>
          <w:b/>
          <w:sz w:val="26"/>
          <w:szCs w:val="26"/>
        </w:rPr>
        <w:t>торговець виконує функції податкового агента в інтересах такого клієнта та/або контрагента</w:t>
      </w:r>
      <w:r w:rsidR="00942353">
        <w:rPr>
          <w:rFonts w:ascii="Times New Roman" w:hAnsi="Times New Roman" w:cs="Times New Roman"/>
          <w:b/>
          <w:sz w:val="26"/>
          <w:szCs w:val="26"/>
        </w:rPr>
        <w:t xml:space="preserve"> (продавця цінних паперів)</w:t>
      </w:r>
      <w:r w:rsidR="00D14B3C">
        <w:rPr>
          <w:rFonts w:ascii="Times New Roman" w:hAnsi="Times New Roman" w:cs="Times New Roman"/>
          <w:sz w:val="26"/>
          <w:szCs w:val="26"/>
        </w:rPr>
        <w:t xml:space="preserve">, оскільки пунктом 5.3 статті 5 Закону  встановлено, що </w:t>
      </w:r>
      <w:r w:rsidR="00D14B3C" w:rsidRPr="00D14B3C">
        <w:rPr>
          <w:rFonts w:ascii="Times New Roman" w:hAnsi="Times New Roman" w:cs="Times New Roman"/>
          <w:i/>
          <w:sz w:val="26"/>
          <w:szCs w:val="26"/>
        </w:rPr>
        <w:t xml:space="preserve">фізична особа, яка має податкову адресу (місце проживання), юридична особа (відокремлений підрозділ), яка має податкову адресу (місцезнаходження) на території ВЕЗ «Крим», </w:t>
      </w:r>
      <w:r w:rsidR="00D14B3C" w:rsidRPr="0074164F">
        <w:rPr>
          <w:rFonts w:ascii="Times New Roman" w:hAnsi="Times New Roman" w:cs="Times New Roman"/>
          <w:i/>
          <w:sz w:val="26"/>
          <w:szCs w:val="26"/>
          <w:u w:val="single"/>
        </w:rPr>
        <w:t>прирівнюються з метою оподаткування до нерезидента</w:t>
      </w:r>
      <w:r w:rsidR="00D14B3C">
        <w:rPr>
          <w:rFonts w:ascii="Times New Roman" w:hAnsi="Times New Roman" w:cs="Times New Roman"/>
          <w:sz w:val="26"/>
          <w:szCs w:val="26"/>
        </w:rPr>
        <w:t>.</w:t>
      </w:r>
    </w:p>
    <w:p w:rsidR="008272CA" w:rsidRDefault="00EB26D3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Прибуток</w:t>
      </w:r>
      <w:r w:rsidR="008272CA">
        <w:rPr>
          <w:rFonts w:ascii="Times New Roman" w:hAnsi="Times New Roman" w:cs="Times New Roman"/>
          <w:sz w:val="26"/>
          <w:szCs w:val="26"/>
        </w:rPr>
        <w:t xml:space="preserve"> осіб, прирівняних до нерезидентів, оподаткову</w:t>
      </w:r>
      <w:r>
        <w:rPr>
          <w:rFonts w:ascii="Times New Roman" w:hAnsi="Times New Roman" w:cs="Times New Roman"/>
          <w:sz w:val="26"/>
          <w:szCs w:val="26"/>
        </w:rPr>
        <w:t>є</w:t>
      </w:r>
      <w:r w:rsidR="008272CA">
        <w:rPr>
          <w:rFonts w:ascii="Times New Roman" w:hAnsi="Times New Roman" w:cs="Times New Roman"/>
          <w:sz w:val="26"/>
          <w:szCs w:val="26"/>
        </w:rPr>
        <w:t>ться в порядку визначеному статтею 160 Податкового кодексу України</w:t>
      </w:r>
      <w:r w:rsidR="00E262C1">
        <w:rPr>
          <w:rFonts w:ascii="Times New Roman" w:hAnsi="Times New Roman" w:cs="Times New Roman"/>
          <w:sz w:val="26"/>
          <w:szCs w:val="26"/>
        </w:rPr>
        <w:t xml:space="preserve"> (далі – ПКУ)</w:t>
      </w:r>
      <w:r w:rsidR="008272CA">
        <w:rPr>
          <w:rFonts w:ascii="Times New Roman" w:hAnsi="Times New Roman" w:cs="Times New Roman"/>
          <w:sz w:val="26"/>
          <w:szCs w:val="26"/>
        </w:rPr>
        <w:t xml:space="preserve">. </w:t>
      </w:r>
      <w:r w:rsidR="00554A37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="00E262C1">
        <w:rPr>
          <w:rFonts w:ascii="Times New Roman" w:hAnsi="Times New Roman" w:cs="Times New Roman"/>
          <w:sz w:val="26"/>
          <w:szCs w:val="26"/>
        </w:rPr>
        <w:t>пункту 160.2 статті 160 ПКУ торговець, який здійс</w:t>
      </w:r>
      <w:r w:rsidR="00152E32">
        <w:rPr>
          <w:rFonts w:ascii="Times New Roman" w:hAnsi="Times New Roman" w:cs="Times New Roman"/>
          <w:sz w:val="26"/>
          <w:szCs w:val="26"/>
        </w:rPr>
        <w:t xml:space="preserve">нює виплату доходу від операцій з цінними паперами </w:t>
      </w:r>
      <w:r w:rsidR="003712B7">
        <w:rPr>
          <w:rFonts w:ascii="Times New Roman" w:hAnsi="Times New Roman" w:cs="Times New Roman"/>
          <w:sz w:val="26"/>
          <w:szCs w:val="26"/>
        </w:rPr>
        <w:t xml:space="preserve">фізичній або юридичній </w:t>
      </w:r>
      <w:r w:rsidR="00152E32">
        <w:rPr>
          <w:rFonts w:ascii="Times New Roman" w:hAnsi="Times New Roman" w:cs="Times New Roman"/>
          <w:sz w:val="26"/>
          <w:szCs w:val="26"/>
        </w:rPr>
        <w:t xml:space="preserve">особі, прирівняній до нерезидента, </w:t>
      </w:r>
      <w:r w:rsidR="003712B7">
        <w:rPr>
          <w:rFonts w:ascii="Times New Roman" w:hAnsi="Times New Roman" w:cs="Times New Roman"/>
          <w:sz w:val="26"/>
          <w:szCs w:val="26"/>
        </w:rPr>
        <w:t xml:space="preserve">зобов’язаний </w:t>
      </w:r>
      <w:r w:rsidR="003712B7" w:rsidRPr="005052F8">
        <w:rPr>
          <w:rFonts w:ascii="Times New Roman" w:hAnsi="Times New Roman" w:cs="Times New Roman"/>
          <w:b/>
          <w:sz w:val="26"/>
          <w:szCs w:val="26"/>
        </w:rPr>
        <w:t>утримувати податок з таких доходів за ставкою в розмірі 15 відсотків</w:t>
      </w:r>
      <w:r w:rsidR="003712B7" w:rsidRPr="00A5063B">
        <w:rPr>
          <w:rFonts w:ascii="Times New Roman" w:hAnsi="Times New Roman" w:cs="Times New Roman"/>
          <w:sz w:val="26"/>
          <w:szCs w:val="26"/>
        </w:rPr>
        <w:t xml:space="preserve"> їх суми та за їх рахунок, який сплачується до</w:t>
      </w:r>
      <w:r w:rsidR="003712B7">
        <w:rPr>
          <w:rFonts w:ascii="Times New Roman" w:hAnsi="Times New Roman" w:cs="Times New Roman"/>
          <w:sz w:val="26"/>
          <w:szCs w:val="26"/>
        </w:rPr>
        <w:t xml:space="preserve"> бюджету </w:t>
      </w:r>
      <w:r w:rsidR="003712B7" w:rsidRPr="005052F8">
        <w:rPr>
          <w:rFonts w:ascii="Times New Roman" w:hAnsi="Times New Roman" w:cs="Times New Roman"/>
          <w:b/>
          <w:sz w:val="26"/>
          <w:szCs w:val="26"/>
        </w:rPr>
        <w:t>під час такої виплати</w:t>
      </w:r>
      <w:r w:rsidR="003712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База оподаткування визначається відповідно до н</w:t>
      </w:r>
      <w:r w:rsidR="001E3540">
        <w:rPr>
          <w:rFonts w:ascii="Times New Roman" w:hAnsi="Times New Roman" w:cs="Times New Roman"/>
          <w:sz w:val="26"/>
          <w:szCs w:val="26"/>
        </w:rPr>
        <w:t>орм пункту 153.8 статті 153 ПКУ</w:t>
      </w:r>
      <w:r w:rsidRPr="00EB26D3">
        <w:rPr>
          <w:rFonts w:ascii="Times New Roman" w:hAnsi="Times New Roman" w:cs="Times New Roman"/>
          <w:sz w:val="26"/>
          <w:szCs w:val="26"/>
        </w:rPr>
        <w:t>.</w:t>
      </w:r>
    </w:p>
    <w:p w:rsidR="00D14B3C" w:rsidRDefault="0074164F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Крім того, згідно пун</w:t>
      </w:r>
      <w:r w:rsidR="00072CE8">
        <w:rPr>
          <w:rFonts w:ascii="Times New Roman" w:hAnsi="Times New Roman" w:cs="Times New Roman"/>
          <w:sz w:val="26"/>
          <w:szCs w:val="26"/>
        </w:rPr>
        <w:t>кту 5.2</w:t>
      </w:r>
      <w:r>
        <w:rPr>
          <w:rFonts w:ascii="Times New Roman" w:hAnsi="Times New Roman" w:cs="Times New Roman"/>
          <w:sz w:val="26"/>
          <w:szCs w:val="26"/>
        </w:rPr>
        <w:t xml:space="preserve"> статті 5 Закону </w:t>
      </w:r>
      <w:r w:rsidR="005D7C11">
        <w:rPr>
          <w:rFonts w:ascii="Times New Roman" w:hAnsi="Times New Roman" w:cs="Times New Roman"/>
          <w:sz w:val="26"/>
          <w:szCs w:val="26"/>
        </w:rPr>
        <w:t>в</w:t>
      </w:r>
      <w:r w:rsidRPr="0074164F">
        <w:rPr>
          <w:rFonts w:ascii="Times New Roman" w:hAnsi="Times New Roman" w:cs="Times New Roman"/>
          <w:sz w:val="26"/>
          <w:szCs w:val="26"/>
        </w:rPr>
        <w:t xml:space="preserve">заємовідносини між особами, які мають податкову адресу на території ВЕЗ </w:t>
      </w:r>
      <w:r w:rsidR="00E01A75">
        <w:rPr>
          <w:rFonts w:ascii="Times New Roman" w:hAnsi="Times New Roman" w:cs="Times New Roman"/>
          <w:sz w:val="26"/>
          <w:szCs w:val="26"/>
        </w:rPr>
        <w:t>«</w:t>
      </w:r>
      <w:r w:rsidRPr="0074164F">
        <w:rPr>
          <w:rFonts w:ascii="Times New Roman" w:hAnsi="Times New Roman" w:cs="Times New Roman"/>
          <w:sz w:val="26"/>
          <w:szCs w:val="26"/>
        </w:rPr>
        <w:t>Крим</w:t>
      </w:r>
      <w:r w:rsidR="00E01A75">
        <w:rPr>
          <w:rFonts w:ascii="Times New Roman" w:hAnsi="Times New Roman" w:cs="Times New Roman"/>
          <w:sz w:val="26"/>
          <w:szCs w:val="26"/>
        </w:rPr>
        <w:t>»</w:t>
      </w:r>
      <w:r w:rsidRPr="0074164F">
        <w:rPr>
          <w:rFonts w:ascii="Times New Roman" w:hAnsi="Times New Roman" w:cs="Times New Roman"/>
          <w:sz w:val="26"/>
          <w:szCs w:val="26"/>
        </w:rPr>
        <w:t xml:space="preserve">, та особами, які мають податкову адресу на іншій території України, є </w:t>
      </w:r>
      <w:r w:rsidRPr="0074164F">
        <w:rPr>
          <w:rFonts w:ascii="Times New Roman" w:hAnsi="Times New Roman" w:cs="Times New Roman"/>
          <w:b/>
          <w:sz w:val="26"/>
          <w:szCs w:val="26"/>
        </w:rPr>
        <w:t>контрольованими операціями</w:t>
      </w:r>
      <w:r w:rsidRPr="0074164F">
        <w:rPr>
          <w:rFonts w:ascii="Times New Roman" w:hAnsi="Times New Roman" w:cs="Times New Roman"/>
          <w:sz w:val="26"/>
          <w:szCs w:val="26"/>
        </w:rPr>
        <w:t xml:space="preserve"> згідно із статтею 39 Податкового кодексу України.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3540">
        <w:rPr>
          <w:rFonts w:ascii="Times New Roman" w:hAnsi="Times New Roman" w:cs="Times New Roman"/>
          <w:sz w:val="26"/>
          <w:szCs w:val="26"/>
        </w:rPr>
        <w:t>Підпунктом 39.4.2 п. 39.4 статті 39 ПКУ встановлено обов’язок п</w:t>
      </w:r>
      <w:r w:rsidR="001E3540" w:rsidRPr="001E3540">
        <w:rPr>
          <w:rFonts w:ascii="Times New Roman" w:hAnsi="Times New Roman" w:cs="Times New Roman"/>
          <w:sz w:val="26"/>
          <w:szCs w:val="26"/>
        </w:rPr>
        <w:t>латник</w:t>
      </w:r>
      <w:r w:rsidR="001E3540">
        <w:rPr>
          <w:rFonts w:ascii="Times New Roman" w:hAnsi="Times New Roman" w:cs="Times New Roman"/>
          <w:sz w:val="26"/>
          <w:szCs w:val="26"/>
        </w:rPr>
        <w:t>ів</w:t>
      </w:r>
      <w:r w:rsidR="001E3540" w:rsidRPr="001E3540">
        <w:rPr>
          <w:rFonts w:ascii="Times New Roman" w:hAnsi="Times New Roman" w:cs="Times New Roman"/>
          <w:sz w:val="26"/>
          <w:szCs w:val="26"/>
        </w:rPr>
        <w:t xml:space="preserve"> податків, які протягом звітного періоду здійснювали контрольовані операції, подавати </w:t>
      </w:r>
      <w:r w:rsidR="001E3540" w:rsidRPr="001E3540">
        <w:rPr>
          <w:rFonts w:ascii="Times New Roman" w:hAnsi="Times New Roman" w:cs="Times New Roman"/>
          <w:b/>
          <w:i/>
          <w:sz w:val="26"/>
          <w:szCs w:val="26"/>
        </w:rPr>
        <w:t>звіт про контрольовані операції</w:t>
      </w:r>
      <w:r w:rsidR="001E3540" w:rsidRPr="001E3540">
        <w:rPr>
          <w:rFonts w:ascii="Times New Roman" w:hAnsi="Times New Roman" w:cs="Times New Roman"/>
          <w:sz w:val="26"/>
          <w:szCs w:val="26"/>
        </w:rPr>
        <w:t xml:space="preserve"> </w:t>
      </w:r>
      <w:r w:rsidR="001E3540">
        <w:rPr>
          <w:rFonts w:ascii="Times New Roman" w:hAnsi="Times New Roman" w:cs="Times New Roman"/>
          <w:sz w:val="26"/>
          <w:szCs w:val="26"/>
        </w:rPr>
        <w:t>до ДФСУ</w:t>
      </w:r>
      <w:r w:rsidR="001E3540" w:rsidRPr="001E3540">
        <w:rPr>
          <w:rFonts w:ascii="Times New Roman" w:hAnsi="Times New Roman" w:cs="Times New Roman"/>
          <w:sz w:val="26"/>
          <w:szCs w:val="26"/>
        </w:rPr>
        <w:t xml:space="preserve"> до 1 травня року, наступного за звітним, засобами електронного зв'язку в електронній формі з дотриманням вимог закону щодо електронного документообігу та електронного цифрового підпису.</w:t>
      </w:r>
    </w:p>
    <w:p w:rsidR="00011FF6" w:rsidRDefault="00011FF6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Нагадаємо, я</w:t>
      </w:r>
      <w:r w:rsidRPr="00011FF6">
        <w:rPr>
          <w:rFonts w:ascii="Times New Roman" w:hAnsi="Times New Roman" w:cs="Times New Roman"/>
          <w:sz w:val="26"/>
          <w:szCs w:val="26"/>
        </w:rPr>
        <w:t>кщо клієнтом торговця цінними паперами є фізична особа з місцем проживання, зареєстрованим на території ВЕЗ «Крим», слід враховувати вимоги частини другої статті 12 Закону України «Про фінансові послуги та державне регулювання ринків фінансових послуг». Зокрема, торговець зобов’язаний до укладення з таким клієнтом договору про надання послуги надати йому інформацію про порядок сплати податків і зборів за рахунок фізичної особи в результаті отримання фінансової послуги.</w:t>
      </w:r>
      <w:r w:rsidR="00225433">
        <w:rPr>
          <w:rFonts w:ascii="Times New Roman" w:hAnsi="Times New Roman" w:cs="Times New Roman"/>
          <w:sz w:val="26"/>
          <w:szCs w:val="26"/>
        </w:rPr>
        <w:t xml:space="preserve"> ПАРД та АФП рекомендують доводити інформацію про особливості оподаткування також до контрагентів та клієнтів - юридичних осіб з метою уникнення непорозумінь.  </w:t>
      </w:r>
    </w:p>
    <w:p w:rsidR="006D51E0" w:rsidRDefault="006D51E0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540" w:rsidRPr="006D51E0" w:rsidRDefault="00B33BF1" w:rsidP="006D51E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ІІ. </w:t>
      </w:r>
      <w:r w:rsidR="001E3540" w:rsidRPr="00B33BF1">
        <w:rPr>
          <w:rFonts w:ascii="Times New Roman" w:hAnsi="Times New Roman" w:cs="Times New Roman"/>
          <w:b/>
          <w:sz w:val="26"/>
          <w:szCs w:val="26"/>
        </w:rPr>
        <w:t xml:space="preserve">Особливості проведення розрахунків за операціями </w:t>
      </w:r>
      <w:r w:rsidR="006D51E0">
        <w:rPr>
          <w:rFonts w:ascii="Times New Roman" w:hAnsi="Times New Roman" w:cs="Times New Roman"/>
          <w:b/>
          <w:sz w:val="26"/>
          <w:szCs w:val="26"/>
        </w:rPr>
        <w:t>з цінними паперами</w:t>
      </w:r>
    </w:p>
    <w:p w:rsidR="00E53C00" w:rsidRDefault="00C3507A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15.2 статті 15 Закону встановлено обмеження щодо порядку розрахунків за правочинами </w:t>
      </w:r>
      <w:r w:rsidRPr="00E01A75">
        <w:rPr>
          <w:rFonts w:ascii="Times New Roman" w:hAnsi="Times New Roman" w:cs="Times New Roman"/>
          <w:b/>
          <w:sz w:val="26"/>
          <w:szCs w:val="26"/>
        </w:rPr>
        <w:t xml:space="preserve">щодо цінних паперів, які </w:t>
      </w:r>
      <w:r w:rsidRPr="00EE2462">
        <w:rPr>
          <w:rFonts w:ascii="Times New Roman" w:hAnsi="Times New Roman" w:cs="Times New Roman"/>
          <w:b/>
          <w:sz w:val="26"/>
          <w:szCs w:val="26"/>
          <w:u w:val="single"/>
        </w:rPr>
        <w:t xml:space="preserve">існують в </w:t>
      </w:r>
      <w:proofErr w:type="spellStart"/>
      <w:r w:rsidR="00E01A75" w:rsidRPr="00EE2462">
        <w:rPr>
          <w:rFonts w:ascii="Times New Roman" w:hAnsi="Times New Roman" w:cs="Times New Roman"/>
          <w:b/>
          <w:sz w:val="26"/>
          <w:szCs w:val="26"/>
          <w:u w:val="single"/>
        </w:rPr>
        <w:t>без</w:t>
      </w:r>
      <w:r w:rsidRPr="00EE2462">
        <w:rPr>
          <w:rFonts w:ascii="Times New Roman" w:hAnsi="Times New Roman" w:cs="Times New Roman"/>
          <w:b/>
          <w:sz w:val="26"/>
          <w:szCs w:val="26"/>
          <w:u w:val="single"/>
        </w:rPr>
        <w:t>документарній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462">
        <w:rPr>
          <w:rFonts w:ascii="Times New Roman" w:hAnsi="Times New Roman" w:cs="Times New Roman"/>
          <w:b/>
          <w:sz w:val="26"/>
          <w:szCs w:val="26"/>
          <w:u w:val="single"/>
        </w:rPr>
        <w:t>формі.</w:t>
      </w:r>
      <w:r>
        <w:rPr>
          <w:rFonts w:ascii="Times New Roman" w:hAnsi="Times New Roman" w:cs="Times New Roman"/>
          <w:sz w:val="26"/>
          <w:szCs w:val="26"/>
        </w:rPr>
        <w:t xml:space="preserve"> Так, підпунктом «в» частини </w:t>
      </w:r>
      <w:r w:rsidRPr="00BD7183">
        <w:rPr>
          <w:rFonts w:ascii="Times New Roman" w:hAnsi="Times New Roman" w:cs="Times New Roman"/>
          <w:i/>
          <w:sz w:val="26"/>
          <w:szCs w:val="26"/>
        </w:rPr>
        <w:t>другої</w:t>
      </w:r>
      <w:r>
        <w:rPr>
          <w:rFonts w:ascii="Times New Roman" w:hAnsi="Times New Roman" w:cs="Times New Roman"/>
          <w:sz w:val="26"/>
          <w:szCs w:val="26"/>
        </w:rPr>
        <w:t xml:space="preserve"> цього пункту встановлено, що протягом тимчасової окупації </w:t>
      </w:r>
      <w:r w:rsidRPr="00EE2462">
        <w:rPr>
          <w:rFonts w:ascii="Times New Roman" w:hAnsi="Times New Roman" w:cs="Times New Roman"/>
          <w:i/>
          <w:sz w:val="26"/>
          <w:szCs w:val="26"/>
          <w:u w:val="single"/>
        </w:rPr>
        <w:t xml:space="preserve">розрахунок за правочинами щодо цінних паперів (переказу цінних паперів та/або прав на цінні папери чи прав за цінними паперами), якщо їхнім </w:t>
      </w:r>
      <w:r w:rsidRPr="00A55EB8">
        <w:rPr>
          <w:rFonts w:ascii="Times New Roman" w:hAnsi="Times New Roman" w:cs="Times New Roman"/>
          <w:b/>
          <w:i/>
          <w:sz w:val="26"/>
          <w:szCs w:val="26"/>
          <w:u w:val="single"/>
        </w:rPr>
        <w:t>набувачем</w:t>
      </w:r>
      <w:r w:rsidRPr="00EE2462">
        <w:rPr>
          <w:rFonts w:ascii="Times New Roman" w:hAnsi="Times New Roman" w:cs="Times New Roman"/>
          <w:i/>
          <w:sz w:val="26"/>
          <w:szCs w:val="26"/>
          <w:u w:val="single"/>
        </w:rPr>
        <w:t xml:space="preserve"> є особа, яка розташована (знаходиться) на тимчасово окупованій території України, здійснюється за принципом поставки проти оплати</w:t>
      </w:r>
      <w:r w:rsidRPr="00C3507A">
        <w:rPr>
          <w:rFonts w:ascii="Times New Roman" w:hAnsi="Times New Roman" w:cs="Times New Roman"/>
          <w:sz w:val="26"/>
          <w:szCs w:val="26"/>
        </w:rPr>
        <w:t xml:space="preserve">, передбаченим у пункті 18 статті 1 Закону України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3507A">
        <w:rPr>
          <w:rFonts w:ascii="Times New Roman" w:hAnsi="Times New Roman" w:cs="Times New Roman"/>
          <w:sz w:val="26"/>
          <w:szCs w:val="26"/>
        </w:rPr>
        <w:t>Про депозитарну систему України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3507A">
        <w:rPr>
          <w:rFonts w:ascii="Times New Roman" w:hAnsi="Times New Roman" w:cs="Times New Roman"/>
          <w:sz w:val="26"/>
          <w:szCs w:val="26"/>
        </w:rPr>
        <w:t>.</w:t>
      </w:r>
      <w:r w:rsidR="007760A7">
        <w:rPr>
          <w:rFonts w:ascii="Times New Roman" w:hAnsi="Times New Roman" w:cs="Times New Roman"/>
          <w:sz w:val="26"/>
          <w:szCs w:val="26"/>
        </w:rPr>
        <w:t xml:space="preserve"> Відповідно до </w:t>
      </w:r>
      <w:r w:rsidR="00654503">
        <w:rPr>
          <w:rFonts w:ascii="Times New Roman" w:hAnsi="Times New Roman" w:cs="Times New Roman"/>
          <w:sz w:val="26"/>
          <w:szCs w:val="26"/>
        </w:rPr>
        <w:t xml:space="preserve">наведеного у вказаному пункті </w:t>
      </w:r>
      <w:r w:rsidR="007760A7">
        <w:rPr>
          <w:rFonts w:ascii="Times New Roman" w:hAnsi="Times New Roman" w:cs="Times New Roman"/>
          <w:sz w:val="26"/>
          <w:szCs w:val="26"/>
        </w:rPr>
        <w:t xml:space="preserve">визначення </w:t>
      </w:r>
      <w:r w:rsidR="00654503" w:rsidRPr="00654503">
        <w:rPr>
          <w:rFonts w:ascii="Times New Roman" w:hAnsi="Times New Roman" w:cs="Times New Roman"/>
          <w:sz w:val="26"/>
          <w:szCs w:val="26"/>
        </w:rPr>
        <w:t xml:space="preserve">розрахунки за принципом </w:t>
      </w:r>
      <w:r w:rsidR="00654503">
        <w:rPr>
          <w:rFonts w:ascii="Times New Roman" w:hAnsi="Times New Roman" w:cs="Times New Roman"/>
          <w:sz w:val="26"/>
          <w:szCs w:val="26"/>
        </w:rPr>
        <w:t>«</w:t>
      </w:r>
      <w:r w:rsidR="00654503" w:rsidRPr="00654503">
        <w:rPr>
          <w:rFonts w:ascii="Times New Roman" w:hAnsi="Times New Roman" w:cs="Times New Roman"/>
          <w:sz w:val="26"/>
          <w:szCs w:val="26"/>
        </w:rPr>
        <w:t>поставка цінних паперів проти оплати</w:t>
      </w:r>
      <w:r w:rsidR="00654503">
        <w:rPr>
          <w:rFonts w:ascii="Times New Roman" w:hAnsi="Times New Roman" w:cs="Times New Roman"/>
          <w:sz w:val="26"/>
          <w:szCs w:val="26"/>
        </w:rPr>
        <w:t>»</w:t>
      </w:r>
      <w:r w:rsidR="00654503" w:rsidRPr="00654503">
        <w:rPr>
          <w:rFonts w:ascii="Times New Roman" w:hAnsi="Times New Roman" w:cs="Times New Roman"/>
          <w:sz w:val="26"/>
          <w:szCs w:val="26"/>
        </w:rPr>
        <w:t xml:space="preserve"> - механізм розрахунків за правочинами щодо цінних паперів, під час якого </w:t>
      </w:r>
      <w:r w:rsidR="00654503" w:rsidRPr="00654503">
        <w:rPr>
          <w:rFonts w:ascii="Times New Roman" w:hAnsi="Times New Roman" w:cs="Times New Roman"/>
          <w:sz w:val="26"/>
          <w:szCs w:val="26"/>
          <w:u w:val="single"/>
        </w:rPr>
        <w:t>переказ цінних паперів та/або переказ прав на цінні папери та прав за цінними паперами відбувається відразу після відповідного переказу коштів</w:t>
      </w:r>
      <w:r w:rsidR="00654503">
        <w:rPr>
          <w:rFonts w:ascii="Times New Roman" w:hAnsi="Times New Roman" w:cs="Times New Roman"/>
          <w:sz w:val="26"/>
          <w:szCs w:val="26"/>
        </w:rPr>
        <w:t xml:space="preserve">. Таким чином, дотримується правило, встановлене у підпункті «в» частини </w:t>
      </w:r>
      <w:r w:rsidR="00654503" w:rsidRPr="00BD7183">
        <w:rPr>
          <w:rFonts w:ascii="Times New Roman" w:hAnsi="Times New Roman" w:cs="Times New Roman"/>
          <w:i/>
          <w:sz w:val="26"/>
          <w:szCs w:val="26"/>
        </w:rPr>
        <w:t>першої</w:t>
      </w:r>
      <w:r w:rsidR="00654503">
        <w:rPr>
          <w:rFonts w:ascii="Times New Roman" w:hAnsi="Times New Roman" w:cs="Times New Roman"/>
          <w:sz w:val="26"/>
          <w:szCs w:val="26"/>
        </w:rPr>
        <w:t xml:space="preserve"> пункту 15.2 статті 15 Закону</w:t>
      </w:r>
      <w:r w:rsidR="00BD7183">
        <w:rPr>
          <w:rFonts w:ascii="Times New Roman" w:hAnsi="Times New Roman" w:cs="Times New Roman"/>
          <w:sz w:val="26"/>
          <w:szCs w:val="26"/>
        </w:rPr>
        <w:t>, згідно якого</w:t>
      </w:r>
      <w:r w:rsidR="00654503">
        <w:rPr>
          <w:rFonts w:ascii="Times New Roman" w:hAnsi="Times New Roman" w:cs="Times New Roman"/>
          <w:sz w:val="26"/>
          <w:szCs w:val="26"/>
        </w:rPr>
        <w:t xml:space="preserve"> </w:t>
      </w:r>
      <w:r w:rsidR="00654503" w:rsidRPr="00654503">
        <w:rPr>
          <w:rFonts w:ascii="Times New Roman" w:hAnsi="Times New Roman" w:cs="Times New Roman"/>
          <w:sz w:val="26"/>
          <w:szCs w:val="26"/>
        </w:rPr>
        <w:t xml:space="preserve">переказ цінних паперів та/або прав на цінні папери чи прав за цінними паперами, якщо їхнім одержувачем є особа, яка знаходиться або зареєстрована на тимчасово окупованій території України, здійснюється </w:t>
      </w:r>
      <w:r w:rsidR="00654503" w:rsidRPr="00BD7183">
        <w:rPr>
          <w:rFonts w:ascii="Times New Roman" w:hAnsi="Times New Roman" w:cs="Times New Roman"/>
          <w:i/>
          <w:sz w:val="26"/>
          <w:szCs w:val="26"/>
        </w:rPr>
        <w:t>після повної оплати цих</w:t>
      </w:r>
      <w:r w:rsidR="00BD7183" w:rsidRPr="00BD7183">
        <w:rPr>
          <w:rFonts w:ascii="Times New Roman" w:hAnsi="Times New Roman" w:cs="Times New Roman"/>
          <w:i/>
          <w:sz w:val="26"/>
          <w:szCs w:val="26"/>
        </w:rPr>
        <w:t xml:space="preserve"> цінних паперів</w:t>
      </w:r>
      <w:r w:rsidR="00BD7183">
        <w:rPr>
          <w:rFonts w:ascii="Times New Roman" w:hAnsi="Times New Roman" w:cs="Times New Roman"/>
          <w:sz w:val="26"/>
          <w:szCs w:val="26"/>
        </w:rPr>
        <w:t>.</w:t>
      </w:r>
    </w:p>
    <w:p w:rsidR="003F5924" w:rsidRDefault="00942353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Звертаємо Вашу увагу на те, що </w:t>
      </w:r>
      <w:r w:rsidR="0076126B">
        <w:rPr>
          <w:rFonts w:ascii="Times New Roman" w:hAnsi="Times New Roman" w:cs="Times New Roman"/>
          <w:sz w:val="26"/>
          <w:szCs w:val="26"/>
        </w:rPr>
        <w:t xml:space="preserve">пунктом 3 статті 6 Закону «Про депозитарну систему України» передбачено, що розрахунки за принципом «поставка проти оплати» здійснюються </w:t>
      </w:r>
      <w:r w:rsidR="0076126B" w:rsidRPr="00263733">
        <w:rPr>
          <w:rFonts w:ascii="Times New Roman" w:hAnsi="Times New Roman" w:cs="Times New Roman"/>
          <w:b/>
          <w:sz w:val="26"/>
          <w:szCs w:val="26"/>
        </w:rPr>
        <w:t>виключно через Розрахунковий центр</w:t>
      </w:r>
      <w:r w:rsidR="005F7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7B1E" w:rsidRPr="005F7B1E">
        <w:rPr>
          <w:rFonts w:ascii="Times New Roman" w:hAnsi="Times New Roman" w:cs="Times New Roman"/>
          <w:sz w:val="26"/>
          <w:szCs w:val="26"/>
        </w:rPr>
        <w:t>(далі – РЦ)</w:t>
      </w:r>
      <w:r w:rsidR="0076126B">
        <w:rPr>
          <w:rFonts w:ascii="Times New Roman" w:hAnsi="Times New Roman" w:cs="Times New Roman"/>
          <w:sz w:val="26"/>
          <w:szCs w:val="26"/>
        </w:rPr>
        <w:t xml:space="preserve">. Оскільки учасником системи клірингу </w:t>
      </w:r>
      <w:r w:rsidR="003E0207">
        <w:rPr>
          <w:rFonts w:ascii="Times New Roman" w:hAnsi="Times New Roman" w:cs="Times New Roman"/>
          <w:sz w:val="26"/>
          <w:szCs w:val="26"/>
        </w:rPr>
        <w:t xml:space="preserve">на сьогоднішній день може бути тільки торговець цінними паперами, то розрахунки за договорами щодо цінних паперів, в яких </w:t>
      </w:r>
      <w:r w:rsidR="003E0207" w:rsidRPr="00A55EB8">
        <w:rPr>
          <w:rFonts w:ascii="Times New Roman" w:hAnsi="Times New Roman" w:cs="Times New Roman"/>
          <w:b/>
          <w:sz w:val="26"/>
          <w:szCs w:val="26"/>
        </w:rPr>
        <w:t>покупцем</w:t>
      </w:r>
      <w:r w:rsidR="003E0207">
        <w:rPr>
          <w:rFonts w:ascii="Times New Roman" w:hAnsi="Times New Roman" w:cs="Times New Roman"/>
          <w:sz w:val="26"/>
          <w:szCs w:val="26"/>
        </w:rPr>
        <w:t xml:space="preserve"> є особа, що має місцезнаходження або місце проживання на тимчасово окупованій території, можуть здійснюватись </w:t>
      </w:r>
      <w:r w:rsidR="003E0207" w:rsidRPr="00A55EB8">
        <w:rPr>
          <w:rFonts w:ascii="Times New Roman" w:hAnsi="Times New Roman" w:cs="Times New Roman"/>
          <w:sz w:val="26"/>
          <w:szCs w:val="26"/>
          <w:u w:val="single"/>
        </w:rPr>
        <w:t>виключно за участі торговця</w:t>
      </w:r>
      <w:r w:rsidR="003E02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5924" w:rsidRDefault="003E0207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Тому при укладенні після 27.09.2014 нови</w:t>
      </w:r>
      <w:r w:rsidR="00610F38">
        <w:rPr>
          <w:rFonts w:ascii="Times New Roman" w:hAnsi="Times New Roman" w:cs="Times New Roman"/>
          <w:sz w:val="26"/>
          <w:szCs w:val="26"/>
        </w:rPr>
        <w:t>х договорів щодо цінних паперів</w:t>
      </w:r>
      <w:r w:rsidR="00263733">
        <w:rPr>
          <w:rFonts w:ascii="Times New Roman" w:hAnsi="Times New Roman" w:cs="Times New Roman"/>
          <w:sz w:val="26"/>
          <w:szCs w:val="26"/>
        </w:rPr>
        <w:t xml:space="preserve"> </w:t>
      </w:r>
      <w:r w:rsidR="00A55EB8">
        <w:rPr>
          <w:rFonts w:ascii="Times New Roman" w:hAnsi="Times New Roman" w:cs="Times New Roman"/>
          <w:sz w:val="26"/>
          <w:szCs w:val="26"/>
        </w:rPr>
        <w:t>з метою забезпечення дотримання вимог до договорів, встановлених Правилами (умовами) здійснення торгівлі цінними паперами (рішення ДКЦПФР № 1449 від 12.12.2006)</w:t>
      </w:r>
      <w:r w:rsidR="006D51E0">
        <w:rPr>
          <w:rFonts w:ascii="Times New Roman" w:hAnsi="Times New Roman" w:cs="Times New Roman"/>
          <w:sz w:val="26"/>
          <w:szCs w:val="26"/>
        </w:rPr>
        <w:t>,</w:t>
      </w:r>
      <w:r w:rsidR="00A55EB8">
        <w:rPr>
          <w:rFonts w:ascii="Times New Roman" w:hAnsi="Times New Roman" w:cs="Times New Roman"/>
          <w:sz w:val="26"/>
          <w:szCs w:val="26"/>
        </w:rPr>
        <w:t xml:space="preserve"> торговцю цінними паперами рекомендується </w:t>
      </w:r>
      <w:r w:rsidR="00610F38" w:rsidRPr="003F5924">
        <w:rPr>
          <w:rFonts w:ascii="Times New Roman" w:hAnsi="Times New Roman" w:cs="Times New Roman"/>
          <w:b/>
          <w:sz w:val="26"/>
          <w:szCs w:val="26"/>
          <w:u w:val="single"/>
        </w:rPr>
        <w:t>відображати у договорах</w:t>
      </w:r>
      <w:r w:rsidR="00610F38">
        <w:rPr>
          <w:rFonts w:ascii="Times New Roman" w:hAnsi="Times New Roman" w:cs="Times New Roman"/>
          <w:sz w:val="26"/>
          <w:szCs w:val="26"/>
        </w:rPr>
        <w:t xml:space="preserve"> проведення розрахунків з дотриманням принципу «поставка проти оплати» </w:t>
      </w:r>
      <w:r w:rsidR="003F5924">
        <w:rPr>
          <w:rFonts w:ascii="Times New Roman" w:hAnsi="Times New Roman" w:cs="Times New Roman"/>
          <w:sz w:val="26"/>
          <w:szCs w:val="26"/>
        </w:rPr>
        <w:t xml:space="preserve">через рахунки торговця цінними паперами, відкриті в Розрахунковому центрі. </w:t>
      </w:r>
    </w:p>
    <w:p w:rsidR="000A3977" w:rsidRPr="005F7B1E" w:rsidRDefault="003B36D9" w:rsidP="003B36D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Якщо </w:t>
      </w:r>
      <w:r w:rsidR="003F5924" w:rsidRPr="005F7B1E">
        <w:rPr>
          <w:rFonts w:ascii="Times New Roman" w:hAnsi="Times New Roman" w:cs="Times New Roman"/>
          <w:sz w:val="26"/>
          <w:szCs w:val="26"/>
        </w:rPr>
        <w:t xml:space="preserve">торговець цінними паперами не є клієнтом </w:t>
      </w:r>
      <w:r w:rsidR="005F7B1E" w:rsidRPr="005F7B1E">
        <w:rPr>
          <w:rFonts w:ascii="Times New Roman" w:hAnsi="Times New Roman" w:cs="Times New Roman"/>
          <w:sz w:val="26"/>
          <w:szCs w:val="26"/>
        </w:rPr>
        <w:t>РЦ</w:t>
      </w:r>
      <w:r w:rsidR="003F5924" w:rsidRPr="005F7B1E">
        <w:rPr>
          <w:rFonts w:ascii="Times New Roman" w:hAnsi="Times New Roman" w:cs="Times New Roman"/>
          <w:sz w:val="26"/>
          <w:szCs w:val="26"/>
        </w:rPr>
        <w:t>, то</w:t>
      </w:r>
      <w:r>
        <w:rPr>
          <w:rFonts w:ascii="Times New Roman" w:hAnsi="Times New Roman" w:cs="Times New Roman"/>
          <w:sz w:val="26"/>
          <w:szCs w:val="26"/>
        </w:rPr>
        <w:t xml:space="preserve"> слід звернути увагу на наступне:</w:t>
      </w:r>
    </w:p>
    <w:p w:rsidR="003F5924" w:rsidRDefault="003F5924" w:rsidP="003B36D9">
      <w:pPr>
        <w:pStyle w:val="a4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36D9">
        <w:rPr>
          <w:rFonts w:ascii="Times New Roman" w:hAnsi="Times New Roman" w:cs="Times New Roman"/>
          <w:sz w:val="26"/>
          <w:szCs w:val="26"/>
        </w:rPr>
        <w:t xml:space="preserve">при </w:t>
      </w:r>
      <w:r w:rsidR="000A3977">
        <w:rPr>
          <w:rFonts w:ascii="Times New Roman" w:hAnsi="Times New Roman" w:cs="Times New Roman"/>
          <w:sz w:val="26"/>
          <w:szCs w:val="26"/>
        </w:rPr>
        <w:t>здійсненні брокерської діяльності, торговець</w:t>
      </w:r>
      <w:r w:rsidR="005F7B1E">
        <w:rPr>
          <w:rFonts w:ascii="Times New Roman" w:hAnsi="Times New Roman" w:cs="Times New Roman"/>
          <w:sz w:val="26"/>
          <w:szCs w:val="26"/>
        </w:rPr>
        <w:t xml:space="preserve"> може передавати виконання </w:t>
      </w:r>
      <w:r w:rsidR="005F7B1E" w:rsidRPr="005F7B1E">
        <w:rPr>
          <w:rFonts w:ascii="Times New Roman" w:hAnsi="Times New Roman" w:cs="Times New Roman"/>
          <w:sz w:val="26"/>
          <w:szCs w:val="26"/>
        </w:rPr>
        <w:t>договору комісії, разового замовлення клієнта</w:t>
      </w:r>
      <w:r w:rsidR="005F7B1E">
        <w:rPr>
          <w:rFonts w:ascii="Times New Roman" w:hAnsi="Times New Roman" w:cs="Times New Roman"/>
          <w:sz w:val="26"/>
          <w:szCs w:val="26"/>
        </w:rPr>
        <w:t xml:space="preserve"> іншому торговцю (клієнту РЦ)</w:t>
      </w:r>
      <w:r w:rsidR="000A3977">
        <w:rPr>
          <w:rFonts w:ascii="Times New Roman" w:hAnsi="Times New Roman" w:cs="Times New Roman"/>
          <w:sz w:val="26"/>
          <w:szCs w:val="26"/>
        </w:rPr>
        <w:t xml:space="preserve"> за умови отримання </w:t>
      </w:r>
      <w:r w:rsidR="000A3977" w:rsidRPr="000A3977">
        <w:rPr>
          <w:rFonts w:ascii="Times New Roman" w:hAnsi="Times New Roman" w:cs="Times New Roman"/>
          <w:sz w:val="26"/>
          <w:szCs w:val="26"/>
        </w:rPr>
        <w:t>попередньої згоди клієнта</w:t>
      </w:r>
      <w:r w:rsidR="000A3977">
        <w:rPr>
          <w:rFonts w:ascii="Times New Roman" w:hAnsi="Times New Roman" w:cs="Times New Roman"/>
          <w:sz w:val="26"/>
          <w:szCs w:val="26"/>
        </w:rPr>
        <w:t xml:space="preserve"> та якщо це </w:t>
      </w:r>
      <w:r w:rsidR="006D51E0">
        <w:rPr>
          <w:rFonts w:ascii="Times New Roman" w:hAnsi="Times New Roman" w:cs="Times New Roman"/>
          <w:sz w:val="26"/>
          <w:szCs w:val="26"/>
        </w:rPr>
        <w:t>передбачено</w:t>
      </w:r>
      <w:r w:rsidR="005F7B1E">
        <w:rPr>
          <w:rFonts w:ascii="Times New Roman" w:hAnsi="Times New Roman" w:cs="Times New Roman"/>
          <w:sz w:val="26"/>
          <w:szCs w:val="26"/>
        </w:rPr>
        <w:t xml:space="preserve"> умовами договору з клієнтом;</w:t>
      </w:r>
    </w:p>
    <w:p w:rsidR="005F7B1E" w:rsidRPr="000A3977" w:rsidRDefault="005F7B1E" w:rsidP="003B36D9">
      <w:pPr>
        <w:pStyle w:val="a4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здійсненні дилерської діяльності, якщо контрагент не є торговцем цінними паперами, необхідним є залучення посередника – торговця цінними паперами, який відкрив рахунки в РЦ.</w:t>
      </w:r>
    </w:p>
    <w:p w:rsidR="004A5ED0" w:rsidRDefault="005E71E3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1E3">
        <w:rPr>
          <w:rFonts w:ascii="Times New Roman" w:hAnsi="Times New Roman" w:cs="Times New Roman"/>
          <w:sz w:val="26"/>
          <w:szCs w:val="26"/>
        </w:rPr>
        <w:t>Торговцю</w:t>
      </w:r>
      <w:r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3F5924" w:rsidRPr="005E71E3">
        <w:rPr>
          <w:rFonts w:ascii="Times New Roman" w:hAnsi="Times New Roman" w:cs="Times New Roman"/>
          <w:b/>
          <w:sz w:val="26"/>
          <w:szCs w:val="26"/>
        </w:rPr>
        <w:t>е рекомендується</w:t>
      </w:r>
      <w:r w:rsidR="003F5924">
        <w:rPr>
          <w:rFonts w:ascii="Times New Roman" w:hAnsi="Times New Roman" w:cs="Times New Roman"/>
          <w:sz w:val="26"/>
          <w:szCs w:val="26"/>
        </w:rPr>
        <w:t xml:space="preserve"> укладати договори щодо цінних паперів, які передбачають проведення розрахунків за </w:t>
      </w:r>
      <w:r w:rsidR="003F5924" w:rsidRPr="003F5924">
        <w:rPr>
          <w:rFonts w:ascii="Times New Roman" w:hAnsi="Times New Roman" w:cs="Times New Roman"/>
          <w:sz w:val="26"/>
          <w:szCs w:val="26"/>
        </w:rPr>
        <w:t>придбані або продані цінні папери або інші фінансові інструменти</w:t>
      </w:r>
      <w:r w:rsidR="00082544">
        <w:rPr>
          <w:rFonts w:ascii="Times New Roman" w:hAnsi="Times New Roman" w:cs="Times New Roman"/>
          <w:sz w:val="26"/>
          <w:szCs w:val="26"/>
        </w:rPr>
        <w:t>, сторонами самостійно (</w:t>
      </w:r>
      <w:r w:rsidR="00082544" w:rsidRPr="005E71E3">
        <w:rPr>
          <w:rFonts w:ascii="Times New Roman" w:hAnsi="Times New Roman" w:cs="Times New Roman"/>
          <w:sz w:val="26"/>
          <w:szCs w:val="26"/>
          <w:u w:val="single"/>
        </w:rPr>
        <w:t>без участі торговця цінними паперами</w:t>
      </w:r>
      <w:r w:rsidR="00082544">
        <w:rPr>
          <w:rFonts w:ascii="Times New Roman" w:hAnsi="Times New Roman" w:cs="Times New Roman"/>
          <w:sz w:val="26"/>
          <w:szCs w:val="26"/>
        </w:rPr>
        <w:t xml:space="preserve">), адже </w:t>
      </w:r>
      <w:r>
        <w:rPr>
          <w:rFonts w:ascii="Times New Roman" w:hAnsi="Times New Roman" w:cs="Times New Roman"/>
          <w:sz w:val="26"/>
          <w:szCs w:val="26"/>
        </w:rPr>
        <w:t>під час укладення такого догово</w:t>
      </w:r>
      <w:r w:rsidR="0008254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 відомо, що він</w:t>
      </w:r>
      <w:r w:rsidR="00082544">
        <w:rPr>
          <w:rFonts w:ascii="Times New Roman" w:hAnsi="Times New Roman" w:cs="Times New Roman"/>
          <w:sz w:val="26"/>
          <w:szCs w:val="26"/>
        </w:rPr>
        <w:t xml:space="preserve"> не буде виконаний.</w:t>
      </w:r>
      <w:r>
        <w:rPr>
          <w:rFonts w:ascii="Times New Roman" w:hAnsi="Times New Roman" w:cs="Times New Roman"/>
          <w:sz w:val="26"/>
          <w:szCs w:val="26"/>
        </w:rPr>
        <w:t xml:space="preserve"> Такий правочин може мати ознаки фіктивного правочину згідно статті 234 ЦКУ.</w:t>
      </w:r>
      <w:r w:rsidR="000825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F96" w:rsidRDefault="0095174C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Якщо клієнт або контрагент торговця цінними паперами, що має місцезнаходження (місце проживання) на території ВЕЗ «Крим», виступає в договорі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щодо </w:t>
      </w:r>
      <w:proofErr w:type="spellStart"/>
      <w:r w:rsidR="00E01A75">
        <w:rPr>
          <w:rFonts w:ascii="Times New Roman" w:hAnsi="Times New Roman" w:cs="Times New Roman"/>
          <w:sz w:val="26"/>
          <w:szCs w:val="26"/>
        </w:rPr>
        <w:t>бездокументарних</w:t>
      </w:r>
      <w:proofErr w:type="spellEnd"/>
      <w:r w:rsidR="00E01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цінних паперів </w:t>
      </w:r>
      <w:r w:rsidR="00E53C00" w:rsidRPr="00E53C00">
        <w:rPr>
          <w:rFonts w:ascii="Times New Roman" w:hAnsi="Times New Roman" w:cs="Times New Roman"/>
          <w:b/>
          <w:sz w:val="26"/>
          <w:szCs w:val="26"/>
        </w:rPr>
        <w:t>продавцем</w:t>
      </w:r>
      <w:r w:rsidR="00E53C00">
        <w:rPr>
          <w:rFonts w:ascii="Times New Roman" w:hAnsi="Times New Roman" w:cs="Times New Roman"/>
          <w:sz w:val="26"/>
          <w:szCs w:val="26"/>
        </w:rPr>
        <w:t xml:space="preserve">, то розрахунки за такими договорами здійснюються відповідно до умов договору </w:t>
      </w:r>
      <w:r w:rsidR="00E53C00" w:rsidRPr="006D73C5">
        <w:rPr>
          <w:rFonts w:ascii="Times New Roman" w:hAnsi="Times New Roman" w:cs="Times New Roman"/>
          <w:b/>
          <w:i/>
          <w:sz w:val="26"/>
          <w:szCs w:val="26"/>
        </w:rPr>
        <w:t xml:space="preserve">без урахування </w:t>
      </w:r>
      <w:r w:rsidRPr="006D73C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53C00" w:rsidRPr="006D73C5">
        <w:rPr>
          <w:rFonts w:ascii="Times New Roman" w:hAnsi="Times New Roman" w:cs="Times New Roman"/>
          <w:b/>
          <w:i/>
          <w:sz w:val="26"/>
          <w:szCs w:val="26"/>
        </w:rPr>
        <w:t>обмежень</w:t>
      </w:r>
      <w:r w:rsidR="00E53C00">
        <w:rPr>
          <w:rFonts w:ascii="Times New Roman" w:hAnsi="Times New Roman" w:cs="Times New Roman"/>
          <w:sz w:val="26"/>
          <w:szCs w:val="26"/>
        </w:rPr>
        <w:t>, встановлених пунктом 15.2 статті 15 Закону.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F96" w:rsidRPr="00EE2462" w:rsidRDefault="00E01A75" w:rsidP="00BB50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Оскільки</w:t>
      </w:r>
      <w:r w:rsidR="006D73C5">
        <w:rPr>
          <w:rFonts w:ascii="Times New Roman" w:hAnsi="Times New Roman" w:cs="Times New Roman"/>
          <w:sz w:val="26"/>
          <w:szCs w:val="26"/>
        </w:rPr>
        <w:t xml:space="preserve"> Законом встановлено особливі умови здійснення </w:t>
      </w:r>
      <w:r w:rsidR="006D73C5" w:rsidRPr="00EE2462">
        <w:rPr>
          <w:rFonts w:ascii="Times New Roman" w:hAnsi="Times New Roman" w:cs="Times New Roman"/>
          <w:b/>
          <w:sz w:val="26"/>
          <w:szCs w:val="26"/>
        </w:rPr>
        <w:t>переказу цінних паперів</w:t>
      </w:r>
      <w:r w:rsidR="006D73C5" w:rsidRPr="00BD7183">
        <w:rPr>
          <w:rFonts w:ascii="Times New Roman" w:hAnsi="Times New Roman" w:cs="Times New Roman"/>
          <w:sz w:val="26"/>
          <w:szCs w:val="26"/>
        </w:rPr>
        <w:t xml:space="preserve"> та/або прав на цінні папери чи прав за цінними паперами</w:t>
      </w:r>
      <w:r w:rsidR="006D73C5">
        <w:rPr>
          <w:rFonts w:ascii="Times New Roman" w:hAnsi="Times New Roman" w:cs="Times New Roman"/>
          <w:sz w:val="26"/>
          <w:szCs w:val="26"/>
        </w:rPr>
        <w:t xml:space="preserve"> на користь особи, яка має місцезнаходження (місце проживання) на тимчасово окупованій території, то вважаємо, що зазначені вимоги </w:t>
      </w:r>
      <w:r w:rsidR="006D73C5" w:rsidRPr="00EE2462">
        <w:rPr>
          <w:rFonts w:ascii="Times New Roman" w:hAnsi="Times New Roman" w:cs="Times New Roman"/>
          <w:b/>
          <w:sz w:val="26"/>
          <w:szCs w:val="26"/>
        </w:rPr>
        <w:t>не застосовуються до правочинів щодо</w:t>
      </w:r>
      <w:r w:rsidR="006D73C5">
        <w:rPr>
          <w:rFonts w:ascii="Times New Roman" w:hAnsi="Times New Roman" w:cs="Times New Roman"/>
          <w:sz w:val="26"/>
          <w:szCs w:val="26"/>
        </w:rPr>
        <w:t xml:space="preserve"> </w:t>
      </w:r>
      <w:r w:rsidR="00EE2462" w:rsidRPr="00EE2462">
        <w:rPr>
          <w:rFonts w:ascii="Times New Roman" w:hAnsi="Times New Roman" w:cs="Times New Roman"/>
          <w:b/>
          <w:sz w:val="26"/>
          <w:szCs w:val="26"/>
          <w:u w:val="single"/>
        </w:rPr>
        <w:t>документарних</w:t>
      </w:r>
      <w:r w:rsidR="00EE2462">
        <w:rPr>
          <w:rFonts w:ascii="Times New Roman" w:hAnsi="Times New Roman" w:cs="Times New Roman"/>
          <w:sz w:val="26"/>
          <w:szCs w:val="26"/>
        </w:rPr>
        <w:t xml:space="preserve"> </w:t>
      </w:r>
      <w:r w:rsidR="00EE2462" w:rsidRPr="00EE2462">
        <w:rPr>
          <w:rFonts w:ascii="Times New Roman" w:hAnsi="Times New Roman" w:cs="Times New Roman"/>
          <w:b/>
          <w:sz w:val="26"/>
          <w:szCs w:val="26"/>
        </w:rPr>
        <w:t>цінних паперів</w:t>
      </w:r>
      <w:r w:rsidR="00EE2462">
        <w:rPr>
          <w:rFonts w:ascii="Times New Roman" w:hAnsi="Times New Roman" w:cs="Times New Roman"/>
          <w:sz w:val="26"/>
          <w:szCs w:val="26"/>
        </w:rPr>
        <w:t xml:space="preserve">, адже вони не обслуговуються депозитарною системою. Відповідно до пункту 12 статті 1 </w:t>
      </w:r>
      <w:r w:rsidR="00EE2462" w:rsidRPr="00EE2462">
        <w:rPr>
          <w:rFonts w:ascii="Times New Roman" w:hAnsi="Times New Roman" w:cs="Times New Roman"/>
          <w:sz w:val="26"/>
          <w:szCs w:val="26"/>
        </w:rPr>
        <w:t>Закону України «Про депозитарну систему України»</w:t>
      </w:r>
      <w:r w:rsidR="00EE2462">
        <w:rPr>
          <w:rFonts w:ascii="Times New Roman" w:hAnsi="Times New Roman" w:cs="Times New Roman"/>
          <w:sz w:val="26"/>
          <w:szCs w:val="26"/>
        </w:rPr>
        <w:t xml:space="preserve"> </w:t>
      </w:r>
      <w:r w:rsidR="00654503" w:rsidRPr="00654503">
        <w:rPr>
          <w:rFonts w:ascii="Times New Roman" w:hAnsi="Times New Roman" w:cs="Times New Roman"/>
          <w:sz w:val="26"/>
          <w:szCs w:val="26"/>
        </w:rPr>
        <w:t xml:space="preserve">переказ цінних паперів (прав на цінні папери та/або прав за цінними паперами) - рух певної кількості цінних паперів (прав на цінні папери та/або прав за цінними паперами), що </w:t>
      </w:r>
      <w:r w:rsidR="00654503" w:rsidRPr="00EE2462">
        <w:rPr>
          <w:rFonts w:ascii="Times New Roman" w:hAnsi="Times New Roman" w:cs="Times New Roman"/>
          <w:i/>
          <w:sz w:val="26"/>
          <w:szCs w:val="26"/>
        </w:rPr>
        <w:t>відображає у професійного учасника депозитарної системи або Національного банку України</w:t>
      </w:r>
      <w:r w:rsidR="00654503" w:rsidRPr="00654503">
        <w:rPr>
          <w:rFonts w:ascii="Times New Roman" w:hAnsi="Times New Roman" w:cs="Times New Roman"/>
          <w:sz w:val="26"/>
          <w:szCs w:val="26"/>
        </w:rPr>
        <w:t xml:space="preserve"> переведення цінних паперів (прав на цінні папери та/або прав за цінними паперами) відповідного випуску </w:t>
      </w:r>
      <w:r w:rsidR="00654503" w:rsidRPr="00EE2462">
        <w:rPr>
          <w:rFonts w:ascii="Times New Roman" w:hAnsi="Times New Roman" w:cs="Times New Roman"/>
          <w:i/>
          <w:sz w:val="26"/>
          <w:szCs w:val="26"/>
        </w:rPr>
        <w:t>з одного рахунка в цінних паперах на інший рахунок у цінних паперах</w:t>
      </w:r>
      <w:r w:rsidR="00654503" w:rsidRPr="00654503">
        <w:rPr>
          <w:rFonts w:ascii="Times New Roman" w:hAnsi="Times New Roman" w:cs="Times New Roman"/>
          <w:sz w:val="26"/>
          <w:szCs w:val="26"/>
        </w:rPr>
        <w:t>, при якому обсяг депозитарного активу за цим випуском не змінюється, або проведення операцій, пов’язаних із встановленням та зняттям обмежень прав на цінні папери та/або пр</w:t>
      </w:r>
      <w:r w:rsidR="00EE2462">
        <w:rPr>
          <w:rFonts w:ascii="Times New Roman" w:hAnsi="Times New Roman" w:cs="Times New Roman"/>
          <w:sz w:val="26"/>
          <w:szCs w:val="26"/>
        </w:rPr>
        <w:t>ав за цінними паперами.</w:t>
      </w:r>
      <w:r w:rsidR="00EE246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E67F96" w:rsidRPr="00EE2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7F31"/>
    <w:multiLevelType w:val="hybridMultilevel"/>
    <w:tmpl w:val="9CAE4BA8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2556601"/>
    <w:multiLevelType w:val="hybridMultilevel"/>
    <w:tmpl w:val="AF5AA9DE"/>
    <w:lvl w:ilvl="0" w:tplc="F5545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21"/>
    <w:rsid w:val="00011FF6"/>
    <w:rsid w:val="00012B8C"/>
    <w:rsid w:val="000222B7"/>
    <w:rsid w:val="00022E19"/>
    <w:rsid w:val="00023246"/>
    <w:rsid w:val="00025655"/>
    <w:rsid w:val="00025FBA"/>
    <w:rsid w:val="000318BD"/>
    <w:rsid w:val="000332CF"/>
    <w:rsid w:val="000339F5"/>
    <w:rsid w:val="00036B41"/>
    <w:rsid w:val="0004022B"/>
    <w:rsid w:val="00042D42"/>
    <w:rsid w:val="00047E52"/>
    <w:rsid w:val="00052AF8"/>
    <w:rsid w:val="000554EF"/>
    <w:rsid w:val="00056E28"/>
    <w:rsid w:val="000630EA"/>
    <w:rsid w:val="00072CE8"/>
    <w:rsid w:val="00082544"/>
    <w:rsid w:val="00082E82"/>
    <w:rsid w:val="000910B5"/>
    <w:rsid w:val="000A3977"/>
    <w:rsid w:val="000B0EE0"/>
    <w:rsid w:val="000B18A4"/>
    <w:rsid w:val="000B4282"/>
    <w:rsid w:val="000B7F44"/>
    <w:rsid w:val="000C442F"/>
    <w:rsid w:val="000C5C91"/>
    <w:rsid w:val="000C6F47"/>
    <w:rsid w:val="000D4F0C"/>
    <w:rsid w:val="000E0EA0"/>
    <w:rsid w:val="000E16AF"/>
    <w:rsid w:val="000F0721"/>
    <w:rsid w:val="000F71C8"/>
    <w:rsid w:val="000F7F46"/>
    <w:rsid w:val="001118FC"/>
    <w:rsid w:val="00124BD9"/>
    <w:rsid w:val="00132FCA"/>
    <w:rsid w:val="00134A85"/>
    <w:rsid w:val="00143062"/>
    <w:rsid w:val="00143F2B"/>
    <w:rsid w:val="00152E32"/>
    <w:rsid w:val="001642B2"/>
    <w:rsid w:val="00171830"/>
    <w:rsid w:val="00174D40"/>
    <w:rsid w:val="0017646C"/>
    <w:rsid w:val="001856C0"/>
    <w:rsid w:val="001A1EA4"/>
    <w:rsid w:val="001A23F7"/>
    <w:rsid w:val="001A297F"/>
    <w:rsid w:val="001C1035"/>
    <w:rsid w:val="001D154C"/>
    <w:rsid w:val="001D29B6"/>
    <w:rsid w:val="001E3540"/>
    <w:rsid w:val="001E3711"/>
    <w:rsid w:val="001F1241"/>
    <w:rsid w:val="001F5CC1"/>
    <w:rsid w:val="00217510"/>
    <w:rsid w:val="002253E7"/>
    <w:rsid w:val="00225433"/>
    <w:rsid w:val="00231D4C"/>
    <w:rsid w:val="00232215"/>
    <w:rsid w:val="002401E9"/>
    <w:rsid w:val="00247FF8"/>
    <w:rsid w:val="00250635"/>
    <w:rsid w:val="0025233C"/>
    <w:rsid w:val="0025744F"/>
    <w:rsid w:val="00263733"/>
    <w:rsid w:val="002868F3"/>
    <w:rsid w:val="002874E1"/>
    <w:rsid w:val="002929EA"/>
    <w:rsid w:val="002973DB"/>
    <w:rsid w:val="002A2E60"/>
    <w:rsid w:val="002B0F8A"/>
    <w:rsid w:val="002B52EF"/>
    <w:rsid w:val="002B5EB9"/>
    <w:rsid w:val="002C0E8B"/>
    <w:rsid w:val="002D6F48"/>
    <w:rsid w:val="002E5BBB"/>
    <w:rsid w:val="002E72E4"/>
    <w:rsid w:val="00300399"/>
    <w:rsid w:val="003079D2"/>
    <w:rsid w:val="003138E5"/>
    <w:rsid w:val="0031423F"/>
    <w:rsid w:val="003239C6"/>
    <w:rsid w:val="00327B88"/>
    <w:rsid w:val="003321A2"/>
    <w:rsid w:val="00340A12"/>
    <w:rsid w:val="003453FD"/>
    <w:rsid w:val="003712B7"/>
    <w:rsid w:val="00373187"/>
    <w:rsid w:val="003926B7"/>
    <w:rsid w:val="003A078C"/>
    <w:rsid w:val="003A1B7E"/>
    <w:rsid w:val="003A7EDC"/>
    <w:rsid w:val="003B334F"/>
    <w:rsid w:val="003B36D9"/>
    <w:rsid w:val="003C2200"/>
    <w:rsid w:val="003C7B3B"/>
    <w:rsid w:val="003E0207"/>
    <w:rsid w:val="003E3092"/>
    <w:rsid w:val="003E683E"/>
    <w:rsid w:val="003F0025"/>
    <w:rsid w:val="003F5924"/>
    <w:rsid w:val="003F75E0"/>
    <w:rsid w:val="00400F42"/>
    <w:rsid w:val="004033B2"/>
    <w:rsid w:val="00404E28"/>
    <w:rsid w:val="00417F5E"/>
    <w:rsid w:val="00427C29"/>
    <w:rsid w:val="00431066"/>
    <w:rsid w:val="004313C5"/>
    <w:rsid w:val="0043789F"/>
    <w:rsid w:val="00461564"/>
    <w:rsid w:val="00463DF3"/>
    <w:rsid w:val="00463F67"/>
    <w:rsid w:val="00467433"/>
    <w:rsid w:val="0047501C"/>
    <w:rsid w:val="00481B2B"/>
    <w:rsid w:val="00492DD0"/>
    <w:rsid w:val="004958DC"/>
    <w:rsid w:val="004A068D"/>
    <w:rsid w:val="004A5ED0"/>
    <w:rsid w:val="004B6560"/>
    <w:rsid w:val="004C257D"/>
    <w:rsid w:val="004E0BF3"/>
    <w:rsid w:val="004E31A6"/>
    <w:rsid w:val="004F4FC1"/>
    <w:rsid w:val="004F78AF"/>
    <w:rsid w:val="005052F8"/>
    <w:rsid w:val="005178B3"/>
    <w:rsid w:val="00525EFA"/>
    <w:rsid w:val="00532DEF"/>
    <w:rsid w:val="00540333"/>
    <w:rsid w:val="00540F47"/>
    <w:rsid w:val="00546D62"/>
    <w:rsid w:val="00554A37"/>
    <w:rsid w:val="0057076A"/>
    <w:rsid w:val="00571563"/>
    <w:rsid w:val="005748C2"/>
    <w:rsid w:val="005A7E97"/>
    <w:rsid w:val="005C5511"/>
    <w:rsid w:val="005D5026"/>
    <w:rsid w:val="005D7C11"/>
    <w:rsid w:val="005E0F9B"/>
    <w:rsid w:val="005E71E3"/>
    <w:rsid w:val="005F108B"/>
    <w:rsid w:val="005F2BEB"/>
    <w:rsid w:val="005F7B1E"/>
    <w:rsid w:val="00604EB2"/>
    <w:rsid w:val="00610F38"/>
    <w:rsid w:val="00623D93"/>
    <w:rsid w:val="00631D2C"/>
    <w:rsid w:val="006408C7"/>
    <w:rsid w:val="0064407A"/>
    <w:rsid w:val="006507B7"/>
    <w:rsid w:val="00654503"/>
    <w:rsid w:val="006555CC"/>
    <w:rsid w:val="00661547"/>
    <w:rsid w:val="00674657"/>
    <w:rsid w:val="0067689D"/>
    <w:rsid w:val="00683EE4"/>
    <w:rsid w:val="0069101F"/>
    <w:rsid w:val="00693E8C"/>
    <w:rsid w:val="006A0C74"/>
    <w:rsid w:val="006A1C42"/>
    <w:rsid w:val="006A6E08"/>
    <w:rsid w:val="006B005E"/>
    <w:rsid w:val="006B1B1F"/>
    <w:rsid w:val="006B62FF"/>
    <w:rsid w:val="006B7002"/>
    <w:rsid w:val="006C3B6A"/>
    <w:rsid w:val="006D0197"/>
    <w:rsid w:val="006D0549"/>
    <w:rsid w:val="006D51E0"/>
    <w:rsid w:val="006D73C5"/>
    <w:rsid w:val="006E565D"/>
    <w:rsid w:val="006F1313"/>
    <w:rsid w:val="006F60AC"/>
    <w:rsid w:val="006F6100"/>
    <w:rsid w:val="006F671D"/>
    <w:rsid w:val="00704183"/>
    <w:rsid w:val="007073E5"/>
    <w:rsid w:val="007239BA"/>
    <w:rsid w:val="00733FA3"/>
    <w:rsid w:val="0073427C"/>
    <w:rsid w:val="00734BBD"/>
    <w:rsid w:val="0074164F"/>
    <w:rsid w:val="00744808"/>
    <w:rsid w:val="007501C9"/>
    <w:rsid w:val="00754185"/>
    <w:rsid w:val="0076126B"/>
    <w:rsid w:val="00766A02"/>
    <w:rsid w:val="00771D21"/>
    <w:rsid w:val="0077545B"/>
    <w:rsid w:val="007760A7"/>
    <w:rsid w:val="007A3030"/>
    <w:rsid w:val="007A4FEF"/>
    <w:rsid w:val="007B1D78"/>
    <w:rsid w:val="007B37D8"/>
    <w:rsid w:val="007B621D"/>
    <w:rsid w:val="007C0852"/>
    <w:rsid w:val="007E1FC3"/>
    <w:rsid w:val="007F18BA"/>
    <w:rsid w:val="007F1DA5"/>
    <w:rsid w:val="007F696C"/>
    <w:rsid w:val="00805D04"/>
    <w:rsid w:val="0080701E"/>
    <w:rsid w:val="008130D3"/>
    <w:rsid w:val="00813EB5"/>
    <w:rsid w:val="008218FB"/>
    <w:rsid w:val="008272CA"/>
    <w:rsid w:val="00831A8A"/>
    <w:rsid w:val="00831C93"/>
    <w:rsid w:val="00832310"/>
    <w:rsid w:val="0085780E"/>
    <w:rsid w:val="008677D8"/>
    <w:rsid w:val="00871E61"/>
    <w:rsid w:val="00874728"/>
    <w:rsid w:val="00897846"/>
    <w:rsid w:val="008B0965"/>
    <w:rsid w:val="008B2340"/>
    <w:rsid w:val="008B412C"/>
    <w:rsid w:val="008D577C"/>
    <w:rsid w:val="008E5D50"/>
    <w:rsid w:val="008F5DB9"/>
    <w:rsid w:val="00903962"/>
    <w:rsid w:val="009109CF"/>
    <w:rsid w:val="00915671"/>
    <w:rsid w:val="00916E1A"/>
    <w:rsid w:val="00925A48"/>
    <w:rsid w:val="0093460E"/>
    <w:rsid w:val="00942353"/>
    <w:rsid w:val="00943865"/>
    <w:rsid w:val="00944101"/>
    <w:rsid w:val="0095174C"/>
    <w:rsid w:val="0097231E"/>
    <w:rsid w:val="00972523"/>
    <w:rsid w:val="00975D91"/>
    <w:rsid w:val="009930AE"/>
    <w:rsid w:val="009956E8"/>
    <w:rsid w:val="009956F9"/>
    <w:rsid w:val="009A0771"/>
    <w:rsid w:val="009A0994"/>
    <w:rsid w:val="009A38EF"/>
    <w:rsid w:val="009C2649"/>
    <w:rsid w:val="009E4141"/>
    <w:rsid w:val="009F5E8B"/>
    <w:rsid w:val="00A02148"/>
    <w:rsid w:val="00A258ED"/>
    <w:rsid w:val="00A310E3"/>
    <w:rsid w:val="00A31BC8"/>
    <w:rsid w:val="00A355EE"/>
    <w:rsid w:val="00A3650C"/>
    <w:rsid w:val="00A41165"/>
    <w:rsid w:val="00A411C4"/>
    <w:rsid w:val="00A41301"/>
    <w:rsid w:val="00A5063B"/>
    <w:rsid w:val="00A55EB8"/>
    <w:rsid w:val="00A64DCD"/>
    <w:rsid w:val="00A64FBC"/>
    <w:rsid w:val="00A84306"/>
    <w:rsid w:val="00A94333"/>
    <w:rsid w:val="00AA7904"/>
    <w:rsid w:val="00AB2E4E"/>
    <w:rsid w:val="00AB6B2B"/>
    <w:rsid w:val="00AC2F2B"/>
    <w:rsid w:val="00AC64F9"/>
    <w:rsid w:val="00AD062C"/>
    <w:rsid w:val="00AD6B20"/>
    <w:rsid w:val="00AE624A"/>
    <w:rsid w:val="00B05A44"/>
    <w:rsid w:val="00B22092"/>
    <w:rsid w:val="00B2318C"/>
    <w:rsid w:val="00B24539"/>
    <w:rsid w:val="00B31252"/>
    <w:rsid w:val="00B31EDB"/>
    <w:rsid w:val="00B33BF1"/>
    <w:rsid w:val="00B36CC3"/>
    <w:rsid w:val="00B44EA3"/>
    <w:rsid w:val="00B55317"/>
    <w:rsid w:val="00B63267"/>
    <w:rsid w:val="00B875E5"/>
    <w:rsid w:val="00B9283A"/>
    <w:rsid w:val="00BA3FDF"/>
    <w:rsid w:val="00BA6479"/>
    <w:rsid w:val="00BB0392"/>
    <w:rsid w:val="00BB4CD1"/>
    <w:rsid w:val="00BB50E0"/>
    <w:rsid w:val="00BB52BC"/>
    <w:rsid w:val="00BB6C3E"/>
    <w:rsid w:val="00BC493E"/>
    <w:rsid w:val="00BC6BE4"/>
    <w:rsid w:val="00BC7397"/>
    <w:rsid w:val="00BD408C"/>
    <w:rsid w:val="00BD7183"/>
    <w:rsid w:val="00BE34F5"/>
    <w:rsid w:val="00BE3C94"/>
    <w:rsid w:val="00BE5994"/>
    <w:rsid w:val="00BF1B1E"/>
    <w:rsid w:val="00BF3637"/>
    <w:rsid w:val="00BF5EC5"/>
    <w:rsid w:val="00BF7D53"/>
    <w:rsid w:val="00C06F17"/>
    <w:rsid w:val="00C1262B"/>
    <w:rsid w:val="00C3507A"/>
    <w:rsid w:val="00C406B6"/>
    <w:rsid w:val="00C6324C"/>
    <w:rsid w:val="00C72D21"/>
    <w:rsid w:val="00C7449F"/>
    <w:rsid w:val="00C74F70"/>
    <w:rsid w:val="00C75E2C"/>
    <w:rsid w:val="00C76484"/>
    <w:rsid w:val="00C8034A"/>
    <w:rsid w:val="00C8173E"/>
    <w:rsid w:val="00CA742D"/>
    <w:rsid w:val="00CA7D4F"/>
    <w:rsid w:val="00CD018C"/>
    <w:rsid w:val="00CD480B"/>
    <w:rsid w:val="00CF4394"/>
    <w:rsid w:val="00CF6551"/>
    <w:rsid w:val="00CF7BFA"/>
    <w:rsid w:val="00D01344"/>
    <w:rsid w:val="00D02736"/>
    <w:rsid w:val="00D1276B"/>
    <w:rsid w:val="00D14B3C"/>
    <w:rsid w:val="00D34BDC"/>
    <w:rsid w:val="00D410C3"/>
    <w:rsid w:val="00D46A5C"/>
    <w:rsid w:val="00D46C60"/>
    <w:rsid w:val="00D555ED"/>
    <w:rsid w:val="00D67CF1"/>
    <w:rsid w:val="00D86C59"/>
    <w:rsid w:val="00DB21B8"/>
    <w:rsid w:val="00DB245C"/>
    <w:rsid w:val="00DB7C8D"/>
    <w:rsid w:val="00DC26E9"/>
    <w:rsid w:val="00DC4CE0"/>
    <w:rsid w:val="00DD682B"/>
    <w:rsid w:val="00DF1EA0"/>
    <w:rsid w:val="00DF2413"/>
    <w:rsid w:val="00DF68B9"/>
    <w:rsid w:val="00E01A75"/>
    <w:rsid w:val="00E07AAE"/>
    <w:rsid w:val="00E16C4C"/>
    <w:rsid w:val="00E17044"/>
    <w:rsid w:val="00E20534"/>
    <w:rsid w:val="00E2278E"/>
    <w:rsid w:val="00E230E0"/>
    <w:rsid w:val="00E262C1"/>
    <w:rsid w:val="00E53C00"/>
    <w:rsid w:val="00E64F95"/>
    <w:rsid w:val="00E67F96"/>
    <w:rsid w:val="00E7430E"/>
    <w:rsid w:val="00E776F5"/>
    <w:rsid w:val="00E87275"/>
    <w:rsid w:val="00E959CA"/>
    <w:rsid w:val="00EB2672"/>
    <w:rsid w:val="00EB26D3"/>
    <w:rsid w:val="00EB7644"/>
    <w:rsid w:val="00EB77ED"/>
    <w:rsid w:val="00EC27C5"/>
    <w:rsid w:val="00EC5906"/>
    <w:rsid w:val="00EE2462"/>
    <w:rsid w:val="00EF07FC"/>
    <w:rsid w:val="00EF2330"/>
    <w:rsid w:val="00EF6134"/>
    <w:rsid w:val="00EF63A0"/>
    <w:rsid w:val="00F00969"/>
    <w:rsid w:val="00F00BB6"/>
    <w:rsid w:val="00F03FB9"/>
    <w:rsid w:val="00F042C8"/>
    <w:rsid w:val="00F23F53"/>
    <w:rsid w:val="00F321A6"/>
    <w:rsid w:val="00F32712"/>
    <w:rsid w:val="00F4100D"/>
    <w:rsid w:val="00F5299B"/>
    <w:rsid w:val="00F55739"/>
    <w:rsid w:val="00F558AC"/>
    <w:rsid w:val="00F66B8F"/>
    <w:rsid w:val="00F733BC"/>
    <w:rsid w:val="00F76A02"/>
    <w:rsid w:val="00F812B0"/>
    <w:rsid w:val="00F82032"/>
    <w:rsid w:val="00F908B7"/>
    <w:rsid w:val="00F92E44"/>
    <w:rsid w:val="00F93201"/>
    <w:rsid w:val="00F94E0B"/>
    <w:rsid w:val="00FA34A9"/>
    <w:rsid w:val="00FB5104"/>
    <w:rsid w:val="00FB7969"/>
    <w:rsid w:val="00FC380E"/>
    <w:rsid w:val="00FD22FF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1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1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36-v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4947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Великая</dc:creator>
  <cp:lastModifiedBy>Елена Великая</cp:lastModifiedBy>
  <cp:revision>21</cp:revision>
  <dcterms:created xsi:type="dcterms:W3CDTF">2014-09-29T15:07:00Z</dcterms:created>
  <dcterms:modified xsi:type="dcterms:W3CDTF">2014-10-01T09:07:00Z</dcterms:modified>
</cp:coreProperties>
</file>