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F5" w:rsidRPr="00AA39D3" w:rsidRDefault="002206C4" w:rsidP="00401CDF">
      <w:pPr>
        <w:pStyle w:val="2"/>
        <w:shd w:val="clear" w:color="auto" w:fill="FFFFFF"/>
        <w:spacing w:before="0"/>
        <w:jc w:val="center"/>
        <w:rPr>
          <w:rFonts w:ascii="Times New Roman" w:hAnsi="Times New Roman" w:cs="Times New Roman"/>
          <w:bCs w:val="0"/>
          <w:color w:val="000000" w:themeColor="text1"/>
          <w:sz w:val="28"/>
          <w:szCs w:val="28"/>
          <w:lang w:val="ru-RU"/>
        </w:rPr>
      </w:pPr>
      <w:r>
        <w:rPr>
          <w:rFonts w:ascii="Times New Roman" w:hAnsi="Times New Roman" w:cs="Times New Roman"/>
          <w:color w:val="000000" w:themeColor="text1"/>
          <w:sz w:val="28"/>
          <w:szCs w:val="28"/>
        </w:rPr>
        <w:t xml:space="preserve">Порівняльна таблиця </w:t>
      </w:r>
      <w:r w:rsidR="00151751" w:rsidRPr="006913DE">
        <w:rPr>
          <w:rFonts w:ascii="Times New Roman" w:hAnsi="Times New Roman" w:cs="Times New Roman"/>
          <w:color w:val="000000" w:themeColor="text1"/>
          <w:sz w:val="28"/>
          <w:szCs w:val="28"/>
        </w:rPr>
        <w:t>З</w:t>
      </w:r>
      <w:r w:rsidR="00E6533C" w:rsidRPr="006913DE">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ін до</w:t>
      </w:r>
      <w:r w:rsidR="00401CDF" w:rsidRPr="006913DE">
        <w:rPr>
          <w:rFonts w:ascii="Times New Roman" w:hAnsi="Times New Roman" w:cs="Times New Roman"/>
          <w:bCs w:val="0"/>
          <w:color w:val="000000" w:themeColor="text1"/>
          <w:sz w:val="28"/>
          <w:szCs w:val="28"/>
        </w:rPr>
        <w:t xml:space="preserve"> </w:t>
      </w:r>
      <w:r w:rsidR="0066099B" w:rsidRPr="0066099B">
        <w:rPr>
          <w:rFonts w:ascii="Times New Roman" w:hAnsi="Times New Roman" w:cs="Times New Roman"/>
          <w:bCs w:val="0"/>
          <w:color w:val="000000" w:themeColor="text1"/>
          <w:sz w:val="28"/>
          <w:szCs w:val="28"/>
        </w:rPr>
        <w:t>Положення про функціонування фондових бірж</w:t>
      </w:r>
    </w:p>
    <w:p w:rsidR="002206C4" w:rsidRPr="002206C4" w:rsidRDefault="002206C4" w:rsidP="002206C4">
      <w:pPr>
        <w:jc w:val="center"/>
        <w:rPr>
          <w:b/>
          <w:i/>
        </w:rPr>
      </w:pPr>
      <w:r w:rsidRPr="00AA39D3">
        <w:rPr>
          <w:b/>
          <w:i/>
          <w:lang w:val="ru-RU"/>
        </w:rPr>
        <w:t>(</w:t>
      </w:r>
      <w:proofErr w:type="gramStart"/>
      <w:r w:rsidRPr="002206C4">
        <w:rPr>
          <w:b/>
          <w:i/>
        </w:rPr>
        <w:t>р</w:t>
      </w:r>
      <w:proofErr w:type="gramEnd"/>
      <w:r w:rsidRPr="002206C4">
        <w:rPr>
          <w:b/>
          <w:i/>
        </w:rPr>
        <w:t xml:space="preserve">ішення НКЦПФР </w:t>
      </w:r>
      <w:r w:rsidR="0066099B" w:rsidRPr="0066099B">
        <w:rPr>
          <w:b/>
          <w:i/>
        </w:rPr>
        <w:t>04 листопада 2014 року</w:t>
      </w:r>
      <w:r w:rsidR="00AA39D3" w:rsidRPr="00AA39D3">
        <w:rPr>
          <w:b/>
          <w:i/>
        </w:rPr>
        <w:t xml:space="preserve"> </w:t>
      </w:r>
      <w:r w:rsidR="00AA39D3">
        <w:rPr>
          <w:b/>
          <w:i/>
        </w:rPr>
        <w:t>№</w:t>
      </w:r>
      <w:r w:rsidR="00AA39D3" w:rsidRPr="00AA39D3">
        <w:rPr>
          <w:b/>
          <w:i/>
        </w:rPr>
        <w:t xml:space="preserve"> </w:t>
      </w:r>
      <w:r w:rsidR="0066099B" w:rsidRPr="0066099B">
        <w:rPr>
          <w:b/>
          <w:i/>
        </w:rPr>
        <w:t>1492</w:t>
      </w:r>
      <w:r w:rsidRPr="002206C4">
        <w:rPr>
          <w:b/>
          <w:i/>
        </w:rPr>
        <w:t>)</w:t>
      </w:r>
    </w:p>
    <w:p w:rsidR="00401CDF" w:rsidRPr="006913DE" w:rsidRDefault="00401CDF" w:rsidP="002206C4">
      <w:pPr>
        <w:jc w:val="center"/>
        <w:rPr>
          <w:color w:val="000000" w:themeColor="text1"/>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7431"/>
        <w:gridCol w:w="7432"/>
      </w:tblGrid>
      <w:tr w:rsidR="00E6533C" w:rsidRPr="00AA5EF2" w:rsidTr="00904961">
        <w:trPr>
          <w:jc w:val="center"/>
        </w:trPr>
        <w:tc>
          <w:tcPr>
            <w:tcW w:w="7431" w:type="dxa"/>
          </w:tcPr>
          <w:p w:rsidR="00E6533C" w:rsidRPr="00AA5EF2" w:rsidRDefault="00E6533C" w:rsidP="00AA39D3">
            <w:pPr>
              <w:jc w:val="center"/>
              <w:rPr>
                <w:b/>
                <w:smallCaps/>
                <w:color w:val="000000" w:themeColor="text1"/>
                <w:lang w:val="ru-RU"/>
              </w:rPr>
            </w:pPr>
            <w:r w:rsidRPr="00AA5EF2">
              <w:rPr>
                <w:b/>
                <w:smallCaps/>
                <w:color w:val="000000" w:themeColor="text1"/>
              </w:rPr>
              <w:t xml:space="preserve">Зміст положення (норми) </w:t>
            </w:r>
            <w:r w:rsidR="00AA39D3" w:rsidRPr="00AA5EF2">
              <w:rPr>
                <w:b/>
                <w:smallCaps/>
                <w:color w:val="000000" w:themeColor="text1"/>
              </w:rPr>
              <w:t>попередньої</w:t>
            </w:r>
            <w:r w:rsidRPr="00AA5EF2">
              <w:rPr>
                <w:b/>
                <w:smallCaps/>
                <w:color w:val="000000" w:themeColor="text1"/>
              </w:rPr>
              <w:t xml:space="preserve"> </w:t>
            </w:r>
            <w:proofErr w:type="spellStart"/>
            <w:r w:rsidRPr="00AA5EF2">
              <w:rPr>
                <w:b/>
                <w:smallCaps/>
                <w:color w:val="000000" w:themeColor="text1"/>
                <w:lang w:val="ru-RU"/>
              </w:rPr>
              <w:t>редакції</w:t>
            </w:r>
            <w:proofErr w:type="spellEnd"/>
            <w:r w:rsidRPr="00AA5EF2">
              <w:rPr>
                <w:b/>
                <w:smallCaps/>
                <w:color w:val="000000" w:themeColor="text1"/>
                <w:lang w:val="ru-RU"/>
              </w:rPr>
              <w:t xml:space="preserve"> </w:t>
            </w:r>
          </w:p>
        </w:tc>
        <w:tc>
          <w:tcPr>
            <w:tcW w:w="7432" w:type="dxa"/>
          </w:tcPr>
          <w:p w:rsidR="00E6533C" w:rsidRPr="00AA5EF2" w:rsidRDefault="00E6533C" w:rsidP="00AA39D3">
            <w:pPr>
              <w:jc w:val="center"/>
              <w:rPr>
                <w:b/>
                <w:smallCaps/>
                <w:color w:val="000000" w:themeColor="text1"/>
              </w:rPr>
            </w:pPr>
            <w:r w:rsidRPr="00AA5EF2">
              <w:rPr>
                <w:b/>
                <w:smallCaps/>
                <w:color w:val="000000" w:themeColor="text1"/>
              </w:rPr>
              <w:t>Зміст відповідного положення (норми) в редакції</w:t>
            </w:r>
            <w:r w:rsidR="00AA39D3" w:rsidRPr="00AA5EF2">
              <w:rPr>
                <w:b/>
                <w:smallCaps/>
                <w:color w:val="000000" w:themeColor="text1"/>
              </w:rPr>
              <w:t xml:space="preserve"> з урахуванням змін</w:t>
            </w:r>
          </w:p>
        </w:tc>
      </w:tr>
      <w:tr w:rsidR="00735C77" w:rsidRPr="00AA5EF2" w:rsidTr="00904961">
        <w:trPr>
          <w:trHeight w:val="368"/>
          <w:jc w:val="center"/>
        </w:trPr>
        <w:tc>
          <w:tcPr>
            <w:tcW w:w="7431" w:type="dxa"/>
          </w:tcPr>
          <w:p w:rsidR="00735C77" w:rsidRDefault="00735C77" w:rsidP="00735C77">
            <w:pPr>
              <w:ind w:firstLine="181"/>
              <w:jc w:val="both"/>
            </w:pPr>
            <w:r>
              <w:t xml:space="preserve">I. </w:t>
            </w:r>
            <w:r w:rsidRPr="00735C77">
              <w:t>Загальні положення</w:t>
            </w:r>
          </w:p>
          <w:p w:rsidR="00735C77" w:rsidRDefault="00735C77" w:rsidP="00735C77">
            <w:pPr>
              <w:ind w:firstLine="181"/>
              <w:jc w:val="both"/>
            </w:pPr>
            <w:r w:rsidRPr="00735C77">
              <w:t>2. Терміни, які використовуються в цьому Положенні, вживаються в такому значенні:</w:t>
            </w:r>
          </w:p>
          <w:p w:rsidR="00735C77" w:rsidRDefault="00735C77" w:rsidP="00735C77">
            <w:pPr>
              <w:ind w:firstLine="181"/>
              <w:jc w:val="both"/>
            </w:pPr>
            <w:r>
              <w:t>…</w:t>
            </w:r>
          </w:p>
          <w:p w:rsidR="00735C77" w:rsidRDefault="00735C77" w:rsidP="00735C77">
            <w:pPr>
              <w:ind w:firstLine="181"/>
              <w:jc w:val="both"/>
            </w:pPr>
            <w:r w:rsidRPr="00735C77">
              <w:t>зупинення торгівлі - процедура, що призводить до заборони протягом певного строку подавати заявки та укладати біржові контракти (договори) щодо окремих або всіх цінних паперів та інших фінансових інструментів;</w:t>
            </w:r>
          </w:p>
          <w:p w:rsidR="00735C77" w:rsidRDefault="00735C77" w:rsidP="00735C77">
            <w:pPr>
              <w:ind w:firstLine="181"/>
              <w:jc w:val="both"/>
            </w:pPr>
            <w:r>
              <w:t>…</w:t>
            </w:r>
          </w:p>
          <w:p w:rsidR="00735C77" w:rsidRDefault="00735C77" w:rsidP="00735C77">
            <w:pPr>
              <w:ind w:firstLine="181"/>
              <w:jc w:val="both"/>
            </w:pPr>
            <w:r w:rsidRPr="00735C77">
              <w:t>ініціатор аукціону - особа, що отримала доступ до біржових торгів з метою купівлі/продажу цінних паперів шляхом проведення аукціону та уклала з біржею договір про організацію та проведення аукціону;</w:t>
            </w:r>
          </w:p>
          <w:p w:rsidR="00735C77" w:rsidRDefault="00735C77" w:rsidP="00735C77">
            <w:pPr>
              <w:ind w:firstLine="181"/>
              <w:jc w:val="both"/>
            </w:pPr>
          </w:p>
          <w:p w:rsidR="00735C77" w:rsidRDefault="00735C77" w:rsidP="00735C77">
            <w:pPr>
              <w:ind w:firstLine="181"/>
              <w:jc w:val="both"/>
            </w:pPr>
            <w:r w:rsidRPr="00735C77">
              <w:t>інформаційна взаємодія - обмін інформацією між фондовими біржами, яка ними узгоджена за складом, формою та структурою даних, періодичністю формування та передачі;</w:t>
            </w:r>
          </w:p>
          <w:p w:rsidR="00735C77" w:rsidRDefault="00735C77" w:rsidP="00735C77">
            <w:pPr>
              <w:ind w:firstLine="181"/>
              <w:jc w:val="both"/>
              <w:rPr>
                <w:b/>
              </w:rPr>
            </w:pPr>
            <w:r w:rsidRPr="00735C77">
              <w:rPr>
                <w:b/>
              </w:rPr>
              <w:t>Відсутній</w:t>
            </w:r>
          </w:p>
          <w:p w:rsidR="00876BA8" w:rsidRDefault="00876BA8" w:rsidP="00735C77">
            <w:pPr>
              <w:ind w:firstLine="181"/>
              <w:jc w:val="both"/>
              <w:rPr>
                <w:b/>
              </w:rPr>
            </w:pPr>
            <w:r>
              <w:rPr>
                <w:b/>
              </w:rPr>
              <w:t>…</w:t>
            </w:r>
          </w:p>
          <w:p w:rsidR="00876BA8" w:rsidRDefault="00876BA8" w:rsidP="00735C77">
            <w:pPr>
              <w:ind w:firstLine="181"/>
              <w:jc w:val="both"/>
              <w:rPr>
                <w:b/>
              </w:rPr>
            </w:pPr>
          </w:p>
          <w:p w:rsidR="00876BA8" w:rsidRDefault="00876BA8" w:rsidP="00735C77">
            <w:pPr>
              <w:ind w:firstLine="181"/>
              <w:jc w:val="both"/>
              <w:rPr>
                <w:b/>
              </w:rPr>
            </w:pPr>
          </w:p>
          <w:p w:rsidR="00876BA8" w:rsidRDefault="00876BA8" w:rsidP="00735C77">
            <w:pPr>
              <w:ind w:firstLine="181"/>
              <w:jc w:val="both"/>
              <w:rPr>
                <w:b/>
              </w:rPr>
            </w:pPr>
          </w:p>
          <w:p w:rsidR="00876BA8" w:rsidRDefault="00876BA8" w:rsidP="00735C77">
            <w:pPr>
              <w:ind w:firstLine="181"/>
              <w:jc w:val="both"/>
            </w:pPr>
            <w:r w:rsidRPr="00876BA8">
              <w:t>ринок - організаційна форма біржових торгів, яка має технологічні особливості укладання та виконання біржових контрактів (договорів);</w:t>
            </w:r>
          </w:p>
          <w:p w:rsidR="00876BA8" w:rsidRDefault="00876BA8" w:rsidP="00735C77">
            <w:pPr>
              <w:ind w:firstLine="181"/>
              <w:jc w:val="both"/>
              <w:rPr>
                <w:b/>
              </w:rPr>
            </w:pPr>
            <w:r w:rsidRPr="00876BA8">
              <w:rPr>
                <w:b/>
              </w:rPr>
              <w:t>Відсутній</w:t>
            </w:r>
          </w:p>
          <w:p w:rsidR="00876BA8" w:rsidRDefault="00876BA8" w:rsidP="00735C77">
            <w:pPr>
              <w:ind w:firstLine="181"/>
              <w:jc w:val="both"/>
              <w:rPr>
                <w:b/>
              </w:rPr>
            </w:pPr>
          </w:p>
          <w:p w:rsidR="00876BA8" w:rsidRDefault="00876BA8" w:rsidP="00735C77">
            <w:pPr>
              <w:ind w:firstLine="181"/>
              <w:jc w:val="both"/>
            </w:pPr>
          </w:p>
          <w:p w:rsidR="00876BA8" w:rsidRDefault="00876BA8" w:rsidP="00735C77">
            <w:pPr>
              <w:ind w:firstLine="181"/>
              <w:jc w:val="both"/>
            </w:pPr>
          </w:p>
          <w:p w:rsidR="00876BA8" w:rsidRDefault="00876BA8" w:rsidP="00735C77">
            <w:pPr>
              <w:ind w:firstLine="181"/>
              <w:jc w:val="both"/>
            </w:pPr>
            <w:r w:rsidRPr="00876BA8">
              <w:t xml:space="preserve">учасник біржових торгів - член фондової біржі, а також у випадках, передбачених законодавством України, інші особи та державні органи, які згідно з правилами фондової біржі отримали право </w:t>
            </w:r>
            <w:r w:rsidRPr="00876BA8">
              <w:lastRenderedPageBreak/>
              <w:t>подавати заявки та укладати біржові контракти (договори);</w:t>
            </w:r>
          </w:p>
          <w:p w:rsidR="00876BA8" w:rsidRDefault="00876BA8" w:rsidP="00876BA8">
            <w:pPr>
              <w:ind w:firstLine="181"/>
              <w:jc w:val="both"/>
              <w:rPr>
                <w:b/>
              </w:rPr>
            </w:pPr>
            <w:r w:rsidRPr="00876BA8">
              <w:rPr>
                <w:b/>
              </w:rPr>
              <w:t>Відсутній</w:t>
            </w:r>
          </w:p>
          <w:p w:rsidR="00876BA8" w:rsidRDefault="00876BA8" w:rsidP="00735C77">
            <w:pPr>
              <w:ind w:firstLine="181"/>
              <w:jc w:val="both"/>
            </w:pPr>
          </w:p>
          <w:p w:rsidR="00876BA8" w:rsidRPr="00876BA8" w:rsidRDefault="00876BA8" w:rsidP="00735C77">
            <w:pPr>
              <w:ind w:firstLine="181"/>
              <w:jc w:val="both"/>
            </w:pPr>
          </w:p>
        </w:tc>
        <w:tc>
          <w:tcPr>
            <w:tcW w:w="7432" w:type="dxa"/>
          </w:tcPr>
          <w:p w:rsidR="00735C77" w:rsidRDefault="00735C77" w:rsidP="00EE084B">
            <w:pPr>
              <w:ind w:firstLine="181"/>
              <w:jc w:val="both"/>
            </w:pPr>
            <w:r>
              <w:lastRenderedPageBreak/>
              <w:t xml:space="preserve">I. </w:t>
            </w:r>
            <w:r w:rsidRPr="00735C77">
              <w:t>Загальні положення</w:t>
            </w:r>
          </w:p>
          <w:p w:rsidR="00735C77" w:rsidRDefault="00735C77" w:rsidP="00EE084B">
            <w:pPr>
              <w:ind w:firstLine="181"/>
              <w:jc w:val="both"/>
            </w:pPr>
            <w:r w:rsidRPr="00735C77">
              <w:t>2. Терміни, які використовуються в цьому Положенні, вживаються в такому значенні:</w:t>
            </w:r>
          </w:p>
          <w:p w:rsidR="00735C77" w:rsidRDefault="00735C77" w:rsidP="00EE084B">
            <w:pPr>
              <w:ind w:firstLine="181"/>
              <w:jc w:val="both"/>
            </w:pPr>
            <w:r>
              <w:t>…</w:t>
            </w:r>
          </w:p>
          <w:p w:rsidR="00735C77" w:rsidRDefault="00735C77" w:rsidP="00EE084B">
            <w:pPr>
              <w:ind w:firstLine="181"/>
              <w:jc w:val="both"/>
            </w:pPr>
            <w:r w:rsidRPr="00735C77">
              <w:t>зупинення торгівлі - процедура, що призводить до заборони протягом певного строку подавати заявки та укладати біржові контракти (договори)</w:t>
            </w:r>
            <w:r>
              <w:t xml:space="preserve"> </w:t>
            </w:r>
            <w:r w:rsidRPr="00735C77">
              <w:rPr>
                <w:rFonts w:eastAsia="Times New Roman"/>
                <w:b/>
                <w:lang w:eastAsia="uk-UA"/>
              </w:rPr>
              <w:t>в усіх або окремих режимах торгів</w:t>
            </w:r>
            <w:r w:rsidRPr="00735C77">
              <w:t xml:space="preserve"> щодо окремих або всіх цінних паперів та інших фінансових інструментів;</w:t>
            </w:r>
          </w:p>
          <w:p w:rsidR="00735C77" w:rsidRDefault="00735C77" w:rsidP="00EE084B">
            <w:pPr>
              <w:ind w:firstLine="181"/>
              <w:jc w:val="both"/>
            </w:pPr>
            <w:r>
              <w:t>…</w:t>
            </w:r>
          </w:p>
          <w:p w:rsidR="00735C77" w:rsidRDefault="00735C77" w:rsidP="00EE084B">
            <w:pPr>
              <w:ind w:firstLine="181"/>
              <w:jc w:val="both"/>
            </w:pPr>
            <w:r w:rsidRPr="00735C77">
              <w:t>ініціатор аукціону - особа, що отримала доступ до біржових торгів з метою купівлі/продажу цінних паперів шляхом проведення аукціону та уклала з біржею договір про організацію та проведення аукціону</w:t>
            </w:r>
            <w:r>
              <w:t xml:space="preserve">, </w:t>
            </w:r>
            <w:r>
              <w:t xml:space="preserve"> </w:t>
            </w:r>
            <w:r w:rsidRPr="00735C77">
              <w:rPr>
                <w:b/>
              </w:rPr>
              <w:t>крім випадків, передбачених законодавством</w:t>
            </w:r>
            <w:r w:rsidRPr="00735C77">
              <w:t>;</w:t>
            </w:r>
          </w:p>
          <w:p w:rsidR="00735C77" w:rsidRDefault="00735C77" w:rsidP="00EE084B">
            <w:pPr>
              <w:ind w:firstLine="181"/>
              <w:jc w:val="both"/>
            </w:pPr>
            <w:r w:rsidRPr="00735C77">
              <w:t>інформаційна взаємодія - обмін інформацією між фондовими біржами, яка ними узгоджена за складом, формою та структурою даних, періодичністю формування та передачі;</w:t>
            </w:r>
          </w:p>
          <w:p w:rsidR="00735C77" w:rsidRPr="00735C77" w:rsidRDefault="00735C77" w:rsidP="00EE084B">
            <w:pPr>
              <w:ind w:firstLine="181"/>
              <w:jc w:val="both"/>
              <w:rPr>
                <w:b/>
              </w:rPr>
            </w:pPr>
            <w:r w:rsidRPr="00735C77">
              <w:rPr>
                <w:b/>
              </w:rPr>
              <w:t>критерії ліквідності цінного папера - кількість укладених біржових контрактів (договорів), кількість торговельних днів, обсяг торгів та кількість осіб, в інтересах яких укладались біржові контракти (договори) за цим цінним папером;</w:t>
            </w:r>
          </w:p>
          <w:p w:rsidR="00735C77" w:rsidRDefault="00735C77" w:rsidP="00EE084B">
            <w:pPr>
              <w:ind w:firstLine="181"/>
              <w:jc w:val="both"/>
            </w:pPr>
            <w:r>
              <w:t>…</w:t>
            </w:r>
          </w:p>
          <w:p w:rsidR="00876BA8" w:rsidRDefault="00876BA8" w:rsidP="00EE084B">
            <w:pPr>
              <w:ind w:firstLine="181"/>
              <w:jc w:val="both"/>
            </w:pPr>
            <w:r w:rsidRPr="00876BA8">
              <w:t>ринок - організаційна форма біржових торгів, яка має технологічні особливості укладання та виконання біржових контрактів (договорів);</w:t>
            </w:r>
          </w:p>
          <w:p w:rsidR="00735C77" w:rsidRDefault="00876BA8" w:rsidP="00EE084B">
            <w:pPr>
              <w:ind w:firstLine="181"/>
              <w:jc w:val="both"/>
              <w:rPr>
                <w:b/>
              </w:rPr>
            </w:pPr>
            <w:r w:rsidRPr="00876BA8">
              <w:rPr>
                <w:b/>
              </w:rPr>
              <w:t>ситуація цінової нестабільності - значне коливання ціни цінного папера, в результаті якого фондова біржа зупиняє або може зупинити торгівлю;</w:t>
            </w:r>
          </w:p>
          <w:p w:rsidR="00876BA8" w:rsidRDefault="00876BA8" w:rsidP="00EE084B">
            <w:pPr>
              <w:ind w:firstLine="181"/>
              <w:jc w:val="both"/>
              <w:rPr>
                <w:b/>
              </w:rPr>
            </w:pPr>
            <w:r>
              <w:rPr>
                <w:b/>
              </w:rPr>
              <w:t>…</w:t>
            </w:r>
          </w:p>
          <w:p w:rsidR="00876BA8" w:rsidRPr="00876BA8" w:rsidRDefault="00876BA8" w:rsidP="00EE084B">
            <w:pPr>
              <w:ind w:firstLine="181"/>
              <w:jc w:val="both"/>
            </w:pPr>
            <w:r w:rsidRPr="00876BA8">
              <w:t xml:space="preserve">учасник біржових торгів - член фондової біржі, а також у випадках, передбачених законодавством України, інші особи та державні органи, які згідно з правилами фондової біржі отримали право </w:t>
            </w:r>
            <w:r w:rsidRPr="00876BA8">
              <w:lastRenderedPageBreak/>
              <w:t>подавати заявки та укладати біржові контракти (договори);</w:t>
            </w:r>
          </w:p>
          <w:p w:rsidR="00876BA8" w:rsidRPr="00876BA8" w:rsidRDefault="00876BA8" w:rsidP="00EE084B">
            <w:pPr>
              <w:ind w:firstLine="181"/>
              <w:jc w:val="both"/>
              <w:rPr>
                <w:b/>
              </w:rPr>
            </w:pPr>
            <w:r w:rsidRPr="00876BA8">
              <w:rPr>
                <w:b/>
              </w:rPr>
              <w:t>ціна закриття - останнє розраховане на підставі біржових контрактів (договорів) протягом торговельного дня значення поточної ціни або ціна закриття попереднього торговельного дня, якщо протягом поточного торговельного дня не було укладено біржових контрактів (договорів), на підставі яких розраховується поточна ціна;</w:t>
            </w:r>
          </w:p>
          <w:p w:rsidR="00735C77" w:rsidRPr="00904961" w:rsidRDefault="00785475" w:rsidP="00EE084B">
            <w:pPr>
              <w:ind w:firstLine="181"/>
              <w:jc w:val="both"/>
            </w:pPr>
            <w:r>
              <w:t>…</w:t>
            </w:r>
          </w:p>
        </w:tc>
      </w:tr>
      <w:tr w:rsidR="00735C77" w:rsidRPr="00AA5EF2" w:rsidTr="00904961">
        <w:trPr>
          <w:jc w:val="center"/>
        </w:trPr>
        <w:tc>
          <w:tcPr>
            <w:tcW w:w="7431" w:type="dxa"/>
          </w:tcPr>
          <w:p w:rsidR="00735C77" w:rsidRDefault="00785475" w:rsidP="009420E2">
            <w:pPr>
              <w:ind w:firstLine="181"/>
              <w:jc w:val="both"/>
              <w:rPr>
                <w:color w:val="000000" w:themeColor="text1"/>
              </w:rPr>
            </w:pPr>
            <w:r w:rsidRPr="00785475">
              <w:rPr>
                <w:color w:val="000000" w:themeColor="text1"/>
              </w:rPr>
              <w:lastRenderedPageBreak/>
              <w:t>4. До функцій фондової біржі належать:</w:t>
            </w:r>
          </w:p>
          <w:p w:rsidR="00785475" w:rsidRDefault="00785475" w:rsidP="009420E2">
            <w:pPr>
              <w:ind w:firstLine="181"/>
              <w:jc w:val="both"/>
              <w:rPr>
                <w:color w:val="000000" w:themeColor="text1"/>
              </w:rPr>
            </w:pPr>
            <w:r>
              <w:rPr>
                <w:color w:val="000000" w:themeColor="text1"/>
              </w:rPr>
              <w:t>…</w:t>
            </w:r>
          </w:p>
          <w:p w:rsidR="00785475" w:rsidRDefault="00785475" w:rsidP="009420E2">
            <w:pPr>
              <w:ind w:firstLine="181"/>
              <w:jc w:val="both"/>
              <w:rPr>
                <w:color w:val="000000" w:themeColor="text1"/>
              </w:rPr>
            </w:pPr>
            <w:r w:rsidRPr="00785475">
              <w:rPr>
                <w:color w:val="000000" w:themeColor="text1"/>
              </w:rPr>
              <w:t xml:space="preserve">обмін інформацією з </w:t>
            </w:r>
            <w:r w:rsidRPr="00785475">
              <w:rPr>
                <w:b/>
                <w:strike/>
                <w:color w:val="000000" w:themeColor="text1"/>
              </w:rPr>
              <w:t xml:space="preserve">депозитарними та розрахунково-кліринговими установами </w:t>
            </w:r>
            <w:r w:rsidRPr="00785475">
              <w:rPr>
                <w:color w:val="000000" w:themeColor="text1"/>
              </w:rPr>
              <w:t>для забезпечення виконання біржових контрактів (договорів);</w:t>
            </w:r>
          </w:p>
          <w:p w:rsidR="00403273" w:rsidRPr="00AA5EF2" w:rsidRDefault="00403273" w:rsidP="009420E2">
            <w:pPr>
              <w:ind w:firstLine="181"/>
              <w:jc w:val="both"/>
              <w:rPr>
                <w:color w:val="000000" w:themeColor="text1"/>
              </w:rPr>
            </w:pPr>
            <w:r>
              <w:rPr>
                <w:color w:val="000000" w:themeColor="text1"/>
              </w:rPr>
              <w:t>…</w:t>
            </w:r>
          </w:p>
        </w:tc>
        <w:tc>
          <w:tcPr>
            <w:tcW w:w="7432" w:type="dxa"/>
          </w:tcPr>
          <w:p w:rsidR="00785475" w:rsidRPr="00785475" w:rsidRDefault="00785475" w:rsidP="00785475">
            <w:pPr>
              <w:ind w:firstLine="181"/>
              <w:jc w:val="both"/>
              <w:rPr>
                <w:color w:val="000000" w:themeColor="text1"/>
              </w:rPr>
            </w:pPr>
            <w:r w:rsidRPr="00785475">
              <w:rPr>
                <w:color w:val="000000" w:themeColor="text1"/>
              </w:rPr>
              <w:t>4. До функцій фондової біржі належать:</w:t>
            </w:r>
          </w:p>
          <w:p w:rsidR="00735C77" w:rsidRPr="00785475" w:rsidRDefault="00785475" w:rsidP="00785475">
            <w:pPr>
              <w:ind w:firstLine="181"/>
              <w:jc w:val="both"/>
              <w:rPr>
                <w:color w:val="000000" w:themeColor="text1"/>
              </w:rPr>
            </w:pPr>
            <w:r w:rsidRPr="00785475">
              <w:rPr>
                <w:color w:val="000000" w:themeColor="text1"/>
              </w:rPr>
              <w:t>…</w:t>
            </w:r>
          </w:p>
          <w:p w:rsidR="00785475" w:rsidRDefault="00785475" w:rsidP="005D113B">
            <w:pPr>
              <w:ind w:firstLine="181"/>
              <w:jc w:val="both"/>
            </w:pPr>
            <w:r>
              <w:t xml:space="preserve">обмін інформацією з </w:t>
            </w:r>
            <w:r w:rsidRPr="00785475">
              <w:rPr>
                <w:b/>
              </w:rPr>
              <w:t xml:space="preserve">особою, що провадить клірингову діяльність відповідно до </w:t>
            </w:r>
            <w:r w:rsidRPr="00785475">
              <w:rPr>
                <w:b/>
                <w:color w:val="0000FF"/>
              </w:rPr>
              <w:t>Закону України "Про цінні папери та фондовий ринок"</w:t>
            </w:r>
            <w:r w:rsidRPr="00785475">
              <w:rPr>
                <w:b/>
              </w:rPr>
              <w:t>, та/або з Центральним депозитарієм цінних паперів, та/або з Національним банком України у випадках, передбачених законодавством,</w:t>
            </w:r>
            <w:r>
              <w:t xml:space="preserve"> для забезпечення виконання біржових контрактів (договорів);</w:t>
            </w:r>
          </w:p>
          <w:p w:rsidR="00403273" w:rsidRPr="00AA5EF2" w:rsidRDefault="00403273" w:rsidP="005D113B">
            <w:pPr>
              <w:ind w:firstLine="181"/>
              <w:jc w:val="both"/>
              <w:rPr>
                <w:b/>
                <w:color w:val="000000" w:themeColor="text1"/>
              </w:rPr>
            </w:pPr>
            <w:r>
              <w:t>…</w:t>
            </w:r>
          </w:p>
        </w:tc>
      </w:tr>
      <w:tr w:rsidR="00403273" w:rsidRPr="00AA5EF2" w:rsidTr="00904961">
        <w:trPr>
          <w:jc w:val="center"/>
        </w:trPr>
        <w:tc>
          <w:tcPr>
            <w:tcW w:w="7431" w:type="dxa"/>
          </w:tcPr>
          <w:p w:rsidR="00403273" w:rsidRPr="00403273" w:rsidRDefault="00403273" w:rsidP="00403273">
            <w:pPr>
              <w:pStyle w:val="rvps2"/>
              <w:shd w:val="clear" w:color="auto" w:fill="FFFFFF"/>
              <w:spacing w:before="0" w:beforeAutospacing="0" w:after="0" w:afterAutospacing="0"/>
              <w:ind w:firstLine="181"/>
              <w:jc w:val="both"/>
              <w:textAlignment w:val="baseline"/>
              <w:rPr>
                <w:color w:val="000000" w:themeColor="text1"/>
                <w:shd w:val="clear" w:color="auto" w:fill="FFFFFF"/>
                <w:lang w:val="uk-UA"/>
              </w:rPr>
            </w:pPr>
            <w:r w:rsidRPr="00403273">
              <w:rPr>
                <w:color w:val="000000" w:themeColor="text1"/>
                <w:shd w:val="clear" w:color="auto" w:fill="FFFFFF"/>
                <w:lang w:val="uk-UA"/>
              </w:rPr>
              <w:t>8. Виконання біржових контрактів (договорів) щодо цінних паперів, укладених на фондовій біржі, здійснюється виключно за принципом "поставка цінних паперів проти оплати", крім:</w:t>
            </w:r>
          </w:p>
          <w:p w:rsidR="00403273" w:rsidRDefault="00403273" w:rsidP="00403273">
            <w:pPr>
              <w:pStyle w:val="rvps2"/>
              <w:shd w:val="clear" w:color="auto" w:fill="FFFFFF"/>
              <w:spacing w:before="0" w:beforeAutospacing="0" w:after="0" w:afterAutospacing="0"/>
              <w:ind w:firstLine="181"/>
              <w:jc w:val="both"/>
              <w:textAlignment w:val="baseline"/>
              <w:rPr>
                <w:color w:val="000000" w:themeColor="text1"/>
                <w:shd w:val="clear" w:color="auto" w:fill="FFFFFF"/>
                <w:lang w:val="uk-UA"/>
              </w:rPr>
            </w:pPr>
            <w:r w:rsidRPr="00403273">
              <w:rPr>
                <w:color w:val="000000" w:themeColor="text1"/>
                <w:shd w:val="clear" w:color="auto" w:fill="FFFFFF"/>
                <w:lang w:val="uk-UA"/>
              </w:rPr>
              <w:t>виконання біржових контрактів (договорів), укладених під час розміщення цінних паперів або інших фінансових інструментів;</w:t>
            </w:r>
          </w:p>
          <w:p w:rsidR="00403273" w:rsidRPr="00AA5EF2" w:rsidRDefault="00403273" w:rsidP="00403273">
            <w:pPr>
              <w:pStyle w:val="rvps2"/>
              <w:shd w:val="clear" w:color="auto" w:fill="FFFFFF"/>
              <w:spacing w:before="0" w:beforeAutospacing="0" w:after="0" w:afterAutospacing="0"/>
              <w:ind w:firstLine="181"/>
              <w:jc w:val="both"/>
              <w:textAlignment w:val="baseline"/>
              <w:rPr>
                <w:color w:val="000000" w:themeColor="text1"/>
                <w:shd w:val="clear" w:color="auto" w:fill="FFFFFF"/>
                <w:lang w:val="uk-UA"/>
              </w:rPr>
            </w:pPr>
            <w:r>
              <w:rPr>
                <w:color w:val="000000" w:themeColor="text1"/>
                <w:shd w:val="clear" w:color="auto" w:fill="FFFFFF"/>
                <w:lang w:val="uk-UA"/>
              </w:rPr>
              <w:t>…</w:t>
            </w:r>
          </w:p>
        </w:tc>
        <w:tc>
          <w:tcPr>
            <w:tcW w:w="7432" w:type="dxa"/>
          </w:tcPr>
          <w:p w:rsidR="00403273" w:rsidRPr="00403273" w:rsidRDefault="00403273" w:rsidP="00EE084B">
            <w:pPr>
              <w:pStyle w:val="rvps2"/>
              <w:shd w:val="clear" w:color="auto" w:fill="FFFFFF"/>
              <w:spacing w:before="0" w:beforeAutospacing="0" w:after="0" w:afterAutospacing="0"/>
              <w:ind w:firstLine="181"/>
              <w:jc w:val="both"/>
              <w:textAlignment w:val="baseline"/>
              <w:rPr>
                <w:color w:val="000000" w:themeColor="text1"/>
                <w:shd w:val="clear" w:color="auto" w:fill="FFFFFF"/>
                <w:lang w:val="uk-UA"/>
              </w:rPr>
            </w:pPr>
            <w:r w:rsidRPr="00403273">
              <w:rPr>
                <w:color w:val="000000" w:themeColor="text1"/>
                <w:shd w:val="clear" w:color="auto" w:fill="FFFFFF"/>
                <w:lang w:val="uk-UA"/>
              </w:rPr>
              <w:t>8. Виконання біржових контрактів (договорів) щодо цінних паперів, укладених на фондовій біржі, здійснюється виключно за принципом "поставка цінних паперів проти оплати", крім:</w:t>
            </w:r>
          </w:p>
          <w:p w:rsidR="00403273" w:rsidRDefault="00403273" w:rsidP="00EE084B">
            <w:pPr>
              <w:pStyle w:val="rvps2"/>
              <w:shd w:val="clear" w:color="auto" w:fill="FFFFFF"/>
              <w:spacing w:before="0" w:beforeAutospacing="0" w:after="0" w:afterAutospacing="0"/>
              <w:ind w:firstLine="181"/>
              <w:jc w:val="both"/>
              <w:textAlignment w:val="baseline"/>
              <w:rPr>
                <w:color w:val="000000" w:themeColor="text1"/>
                <w:shd w:val="clear" w:color="auto" w:fill="FFFFFF"/>
                <w:lang w:val="uk-UA"/>
              </w:rPr>
            </w:pPr>
            <w:r w:rsidRPr="00403273">
              <w:rPr>
                <w:color w:val="000000" w:themeColor="text1"/>
                <w:shd w:val="clear" w:color="auto" w:fill="FFFFFF"/>
                <w:lang w:val="uk-UA"/>
              </w:rPr>
              <w:t>виконання біржових контрактів (договорів), укладених під час розміщення</w:t>
            </w:r>
            <w:r w:rsidRPr="00403273">
              <w:rPr>
                <w:b/>
                <w:color w:val="000000" w:themeColor="text1"/>
                <w:shd w:val="clear" w:color="auto" w:fill="FFFFFF"/>
                <w:lang w:val="uk-UA"/>
              </w:rPr>
              <w:t>/викупу/продажу</w:t>
            </w:r>
            <w:r w:rsidRPr="00403273">
              <w:rPr>
                <w:color w:val="000000" w:themeColor="text1"/>
                <w:shd w:val="clear" w:color="auto" w:fill="FFFFFF"/>
                <w:lang w:val="uk-UA"/>
              </w:rPr>
              <w:t xml:space="preserve"> </w:t>
            </w:r>
            <w:r w:rsidRPr="00403273">
              <w:rPr>
                <w:b/>
                <w:color w:val="000000" w:themeColor="text1"/>
                <w:shd w:val="clear" w:color="auto" w:fill="FFFFFF"/>
                <w:lang w:val="uk-UA"/>
              </w:rPr>
              <w:t>викуплених</w:t>
            </w:r>
            <w:r w:rsidRPr="00403273">
              <w:rPr>
                <w:color w:val="000000" w:themeColor="text1"/>
                <w:shd w:val="clear" w:color="auto" w:fill="FFFFFF"/>
                <w:lang w:val="uk-UA"/>
              </w:rPr>
              <w:t xml:space="preserve"> цінних паперів або інших фінансових інструментів;</w:t>
            </w:r>
          </w:p>
          <w:p w:rsidR="00403273" w:rsidRPr="00AA5EF2" w:rsidRDefault="00403273" w:rsidP="00EE084B">
            <w:pPr>
              <w:pStyle w:val="rvps2"/>
              <w:shd w:val="clear" w:color="auto" w:fill="FFFFFF"/>
              <w:spacing w:before="0" w:beforeAutospacing="0" w:after="0" w:afterAutospacing="0"/>
              <w:ind w:firstLine="181"/>
              <w:jc w:val="both"/>
              <w:textAlignment w:val="baseline"/>
              <w:rPr>
                <w:color w:val="000000" w:themeColor="text1"/>
                <w:shd w:val="clear" w:color="auto" w:fill="FFFFFF"/>
                <w:lang w:val="uk-UA"/>
              </w:rPr>
            </w:pPr>
            <w:r>
              <w:rPr>
                <w:color w:val="000000" w:themeColor="text1"/>
                <w:shd w:val="clear" w:color="auto" w:fill="FFFFFF"/>
                <w:lang w:val="uk-UA"/>
              </w:rPr>
              <w:t>…</w:t>
            </w:r>
          </w:p>
        </w:tc>
      </w:tr>
      <w:tr w:rsidR="00403273" w:rsidRPr="00AA5EF2" w:rsidTr="00904961">
        <w:trPr>
          <w:jc w:val="center"/>
        </w:trPr>
        <w:tc>
          <w:tcPr>
            <w:tcW w:w="7431" w:type="dxa"/>
          </w:tcPr>
          <w:p w:rsidR="003A5683" w:rsidRDefault="003A5683" w:rsidP="003A5683">
            <w:pPr>
              <w:ind w:firstLine="181"/>
              <w:jc w:val="both"/>
            </w:pPr>
            <w:r>
              <w:t>9. Фондова біржа розраховує біржовий фондовий індекс, який обов'язково оприлюднює на власному веб-сайті. Біржовий фондовий індекс визначається кожного торговельного дня.</w:t>
            </w:r>
          </w:p>
          <w:p w:rsidR="003A5683" w:rsidRDefault="003A5683" w:rsidP="003A5683">
            <w:pPr>
              <w:ind w:firstLine="181"/>
              <w:jc w:val="both"/>
            </w:pPr>
            <w:r>
              <w:t>До переліку цінних паперів, що використовуються для розрахунку біржового фондового індексу, входять цінні папери, що знаходяться у біржовому списку фондової біржі, при цьому до такого переліку входить не менше чотирьох цінних паперів, що входять до біржового реєстру фондової біржі.</w:t>
            </w:r>
          </w:p>
          <w:p w:rsidR="003A5683" w:rsidRPr="003A5683" w:rsidRDefault="003A5683" w:rsidP="003A5683">
            <w:pPr>
              <w:ind w:firstLine="181"/>
              <w:jc w:val="both"/>
              <w:rPr>
                <w:b/>
              </w:rPr>
            </w:pPr>
            <w:r w:rsidRPr="003A5683">
              <w:rPr>
                <w:b/>
              </w:rPr>
              <w:t>Відсутній</w:t>
            </w:r>
          </w:p>
        </w:tc>
        <w:tc>
          <w:tcPr>
            <w:tcW w:w="7432" w:type="dxa"/>
          </w:tcPr>
          <w:p w:rsidR="003A5683" w:rsidRDefault="003A5683" w:rsidP="003A5683">
            <w:pPr>
              <w:ind w:firstLine="181"/>
              <w:jc w:val="both"/>
            </w:pPr>
            <w:r>
              <w:t>9. Фондова біржа розраховує біржовий фондовий індекс, який обов'язково оприлюднює на власному веб-сайті. Біржовий фондовий індекс визначається кожного торговельного дня.</w:t>
            </w:r>
          </w:p>
          <w:p w:rsidR="00403273" w:rsidRDefault="003A5683" w:rsidP="003A5683">
            <w:pPr>
              <w:ind w:firstLine="181"/>
              <w:jc w:val="both"/>
            </w:pPr>
            <w:r>
              <w:t>До переліку цінних паперів, що використовуються для розрахунку біржового фондового індексу, входять цінні папери, що знаходяться у біржовому списку фондової біржі, при цьому до такого переліку входить не менше чотирьох цінних паперів, що входять до біржового реєстру фондової біржі.</w:t>
            </w:r>
          </w:p>
          <w:p w:rsidR="003A5683" w:rsidRPr="003A5683" w:rsidRDefault="003A5683" w:rsidP="00BE2E42">
            <w:pPr>
              <w:ind w:firstLine="181"/>
              <w:jc w:val="both"/>
              <w:rPr>
                <w:b/>
              </w:rPr>
            </w:pPr>
            <w:r w:rsidRPr="003A5683">
              <w:rPr>
                <w:b/>
              </w:rPr>
              <w:t xml:space="preserve">Якщо кількість цінних паперів у біржовому реєстрі стає менше чотирьох, фондова біржа протягом місяця відновлює необхідну кількість цінних паперів у біржовому реєстрі. При цьому фондова </w:t>
            </w:r>
            <w:r w:rsidRPr="003A5683">
              <w:rPr>
                <w:b/>
              </w:rPr>
              <w:lastRenderedPageBreak/>
              <w:t>біржа продовжує розраховувати біржовий фондовий індекс.</w:t>
            </w:r>
          </w:p>
        </w:tc>
      </w:tr>
      <w:tr w:rsidR="00403273" w:rsidRPr="00AA5EF2" w:rsidTr="00904961">
        <w:trPr>
          <w:jc w:val="center"/>
        </w:trPr>
        <w:tc>
          <w:tcPr>
            <w:tcW w:w="7431" w:type="dxa"/>
          </w:tcPr>
          <w:p w:rsidR="00403273" w:rsidRPr="00156809" w:rsidRDefault="00156809" w:rsidP="009420E2">
            <w:pPr>
              <w:ind w:firstLine="181"/>
              <w:jc w:val="both"/>
              <w:rPr>
                <w:rStyle w:val="rvts15"/>
                <w:bCs/>
                <w:color w:val="000000" w:themeColor="text1"/>
                <w:bdr w:val="none" w:sz="0" w:space="0" w:color="auto" w:frame="1"/>
              </w:rPr>
            </w:pPr>
            <w:r w:rsidRPr="00156809">
              <w:rPr>
                <w:rStyle w:val="rvts15"/>
                <w:bCs/>
                <w:color w:val="000000" w:themeColor="text1"/>
                <w:bdr w:val="none" w:sz="0" w:space="0" w:color="auto" w:frame="1"/>
              </w:rPr>
              <w:lastRenderedPageBreak/>
              <w:t>III. Організація та проведення біржових торгів</w:t>
            </w:r>
          </w:p>
          <w:p w:rsidR="00156809" w:rsidRDefault="00156809" w:rsidP="009420E2">
            <w:pPr>
              <w:ind w:firstLine="181"/>
              <w:jc w:val="both"/>
              <w:rPr>
                <w:rStyle w:val="rvts15"/>
                <w:bCs/>
                <w:color w:val="000000" w:themeColor="text1"/>
                <w:bdr w:val="none" w:sz="0" w:space="0" w:color="auto" w:frame="1"/>
              </w:rPr>
            </w:pPr>
            <w:r w:rsidRPr="00156809">
              <w:rPr>
                <w:rStyle w:val="rvts15"/>
                <w:bCs/>
                <w:color w:val="000000" w:themeColor="text1"/>
                <w:bdr w:val="none" w:sz="0" w:space="0" w:color="auto" w:frame="1"/>
              </w:rPr>
              <w:t>2. Правила фондової біржі щодо порядку організації та проведення біржових торгів повинні визначати:</w:t>
            </w:r>
          </w:p>
          <w:p w:rsidR="00156809" w:rsidRDefault="00156809" w:rsidP="009420E2">
            <w:pPr>
              <w:ind w:firstLine="181"/>
              <w:jc w:val="both"/>
              <w:rPr>
                <w:rStyle w:val="rvts15"/>
                <w:bCs/>
                <w:color w:val="000000" w:themeColor="text1"/>
                <w:bdr w:val="none" w:sz="0" w:space="0" w:color="auto" w:frame="1"/>
              </w:rPr>
            </w:pPr>
            <w:r>
              <w:rPr>
                <w:rStyle w:val="rvts15"/>
                <w:bCs/>
                <w:color w:val="000000" w:themeColor="text1"/>
                <w:bdr w:val="none" w:sz="0" w:space="0" w:color="auto" w:frame="1"/>
              </w:rPr>
              <w:t>…</w:t>
            </w:r>
          </w:p>
          <w:p w:rsidR="00156809" w:rsidRDefault="00156809" w:rsidP="009420E2">
            <w:pPr>
              <w:ind w:firstLine="181"/>
              <w:jc w:val="both"/>
              <w:rPr>
                <w:rStyle w:val="rvts15"/>
                <w:bCs/>
                <w:color w:val="000000" w:themeColor="text1"/>
                <w:bdr w:val="none" w:sz="0" w:space="0" w:color="auto" w:frame="1"/>
              </w:rPr>
            </w:pPr>
            <w:r w:rsidRPr="00156809">
              <w:rPr>
                <w:rStyle w:val="rvts15"/>
                <w:bCs/>
                <w:color w:val="000000" w:themeColor="text1"/>
                <w:bdr w:val="none" w:sz="0" w:space="0" w:color="auto" w:frame="1"/>
              </w:rPr>
              <w:t xml:space="preserve">вимоги до учасників біржових торгів, їх права та обов'язки, у тому числі щодо інформування учасником біржових торгів (крім державних органів) фондової біржі про виконання </w:t>
            </w:r>
            <w:r w:rsidRPr="00156809">
              <w:rPr>
                <w:rStyle w:val="rvts15"/>
                <w:b/>
                <w:bCs/>
                <w:strike/>
                <w:color w:val="000000" w:themeColor="text1"/>
                <w:bdr w:val="none" w:sz="0" w:space="0" w:color="auto" w:frame="1"/>
              </w:rPr>
              <w:t>біржового контракту (договору)</w:t>
            </w:r>
            <w:r w:rsidRPr="00156809">
              <w:rPr>
                <w:rStyle w:val="rvts15"/>
                <w:bCs/>
                <w:color w:val="000000" w:themeColor="text1"/>
                <w:bdr w:val="none" w:sz="0" w:space="0" w:color="auto" w:frame="1"/>
              </w:rPr>
              <w:t xml:space="preserve"> протягом однієї години після виконання такого біржового контракту (договору), крім випадків, коли таку інформацію отримує фондова біржа від </w:t>
            </w:r>
            <w:r w:rsidRPr="00156809">
              <w:rPr>
                <w:rStyle w:val="rvts15"/>
                <w:b/>
                <w:bCs/>
                <w:strike/>
                <w:color w:val="000000" w:themeColor="text1"/>
                <w:bdr w:val="none" w:sz="0" w:space="0" w:color="auto" w:frame="1"/>
              </w:rPr>
              <w:t>депозитарію</w:t>
            </w:r>
            <w:r w:rsidRPr="00156809">
              <w:rPr>
                <w:rStyle w:val="rvts15"/>
                <w:bCs/>
                <w:color w:val="000000" w:themeColor="text1"/>
                <w:bdr w:val="none" w:sz="0" w:space="0" w:color="auto" w:frame="1"/>
              </w:rPr>
              <w:t>;</w:t>
            </w:r>
          </w:p>
          <w:p w:rsidR="00F93575" w:rsidRDefault="00FB261F" w:rsidP="009420E2">
            <w:pPr>
              <w:ind w:firstLine="181"/>
              <w:jc w:val="both"/>
              <w:rPr>
                <w:rStyle w:val="rvts15"/>
                <w:bCs/>
                <w:color w:val="000000" w:themeColor="text1"/>
                <w:bdr w:val="none" w:sz="0" w:space="0" w:color="auto" w:frame="1"/>
              </w:rPr>
            </w:pPr>
            <w:r>
              <w:rPr>
                <w:rStyle w:val="rvts15"/>
                <w:bCs/>
                <w:color w:val="000000" w:themeColor="text1"/>
                <w:bdr w:val="none" w:sz="0" w:space="0" w:color="auto" w:frame="1"/>
              </w:rPr>
              <w:t>…</w:t>
            </w:r>
          </w:p>
          <w:p w:rsidR="00FB261F" w:rsidRDefault="00FB261F" w:rsidP="009420E2">
            <w:pPr>
              <w:ind w:firstLine="181"/>
              <w:jc w:val="both"/>
              <w:rPr>
                <w:rStyle w:val="rvts15"/>
                <w:bCs/>
                <w:color w:val="000000" w:themeColor="text1"/>
                <w:bdr w:val="none" w:sz="0" w:space="0" w:color="auto" w:frame="1"/>
              </w:rPr>
            </w:pPr>
          </w:p>
          <w:p w:rsidR="00FB261F" w:rsidRDefault="00FB261F" w:rsidP="009420E2">
            <w:pPr>
              <w:ind w:firstLine="181"/>
              <w:jc w:val="both"/>
              <w:rPr>
                <w:rStyle w:val="rvts15"/>
                <w:bCs/>
                <w:color w:val="000000" w:themeColor="text1"/>
                <w:bdr w:val="none" w:sz="0" w:space="0" w:color="auto" w:frame="1"/>
              </w:rPr>
            </w:pPr>
          </w:p>
          <w:p w:rsidR="00FB261F" w:rsidRDefault="00FB261F" w:rsidP="009420E2">
            <w:pPr>
              <w:ind w:firstLine="181"/>
              <w:jc w:val="both"/>
              <w:rPr>
                <w:rStyle w:val="rvts15"/>
                <w:bCs/>
                <w:color w:val="000000" w:themeColor="text1"/>
                <w:bdr w:val="none" w:sz="0" w:space="0" w:color="auto" w:frame="1"/>
              </w:rPr>
            </w:pPr>
          </w:p>
          <w:p w:rsidR="00FB261F" w:rsidRDefault="00FB261F" w:rsidP="009420E2">
            <w:pPr>
              <w:ind w:firstLine="181"/>
              <w:jc w:val="both"/>
              <w:rPr>
                <w:rStyle w:val="rvts15"/>
                <w:bCs/>
                <w:color w:val="000000" w:themeColor="text1"/>
                <w:bdr w:val="none" w:sz="0" w:space="0" w:color="auto" w:frame="1"/>
              </w:rPr>
            </w:pPr>
          </w:p>
          <w:p w:rsidR="00FB261F" w:rsidRDefault="00FB261F" w:rsidP="009420E2">
            <w:pPr>
              <w:ind w:firstLine="181"/>
              <w:jc w:val="both"/>
              <w:rPr>
                <w:rStyle w:val="rvts15"/>
                <w:bCs/>
                <w:color w:val="000000" w:themeColor="text1"/>
                <w:bdr w:val="none" w:sz="0" w:space="0" w:color="auto" w:frame="1"/>
              </w:rPr>
            </w:pPr>
          </w:p>
          <w:p w:rsidR="00FB261F" w:rsidRDefault="00FB261F" w:rsidP="009420E2">
            <w:pPr>
              <w:ind w:firstLine="181"/>
              <w:jc w:val="both"/>
              <w:rPr>
                <w:rStyle w:val="rvts15"/>
                <w:bCs/>
                <w:color w:val="000000" w:themeColor="text1"/>
                <w:bdr w:val="none" w:sz="0" w:space="0" w:color="auto" w:frame="1"/>
              </w:rPr>
            </w:pPr>
          </w:p>
          <w:p w:rsidR="00F93575" w:rsidRPr="00156809" w:rsidRDefault="00FB261F" w:rsidP="009420E2">
            <w:pPr>
              <w:ind w:firstLine="181"/>
              <w:jc w:val="both"/>
              <w:rPr>
                <w:rStyle w:val="rvts15"/>
                <w:bCs/>
                <w:color w:val="000000" w:themeColor="text1"/>
                <w:bdr w:val="none" w:sz="0" w:space="0" w:color="auto" w:frame="1"/>
              </w:rPr>
            </w:pPr>
            <w:r w:rsidRPr="00FB261F">
              <w:rPr>
                <w:rStyle w:val="rvts15"/>
                <w:bCs/>
                <w:color w:val="000000" w:themeColor="text1"/>
                <w:bdr w:val="none" w:sz="0" w:space="0" w:color="auto" w:frame="1"/>
              </w:rPr>
              <w:t xml:space="preserve">процедуру формування переліку заявок учасників біржових торгів, який повинен містити щонайменше такі дані: номер заявки; найменування та код </w:t>
            </w:r>
            <w:r w:rsidRPr="00FB261F">
              <w:rPr>
                <w:rStyle w:val="rvts15"/>
                <w:b/>
                <w:bCs/>
                <w:strike/>
                <w:color w:val="000000" w:themeColor="text1"/>
                <w:bdr w:val="none" w:sz="0" w:space="0" w:color="auto" w:frame="1"/>
              </w:rPr>
              <w:t>(у разі наявності)</w:t>
            </w:r>
            <w:r w:rsidRPr="00FB261F">
              <w:rPr>
                <w:rStyle w:val="rvts15"/>
                <w:b/>
                <w:bCs/>
                <w:color w:val="000000" w:themeColor="text1"/>
                <w:bdr w:val="none" w:sz="0" w:space="0" w:color="auto" w:frame="1"/>
              </w:rPr>
              <w:t xml:space="preserve"> </w:t>
            </w:r>
            <w:r w:rsidRPr="00FB261F">
              <w:rPr>
                <w:rStyle w:val="rvts15"/>
                <w:bCs/>
                <w:color w:val="000000" w:themeColor="text1"/>
                <w:bdr w:val="none" w:sz="0" w:space="0" w:color="auto" w:frame="1"/>
              </w:rPr>
              <w:t>учасника торгів, який подав заявку; умови заявки; вид заявки; реквізити цінного папера або іншого фінансового інструмента, щодо якого подано заявку; кількість цінних паперів або інших фінансових інструментів, щодо яких учасником подано заявку; дату та час реєстрації заявки;</w:t>
            </w:r>
          </w:p>
        </w:tc>
        <w:tc>
          <w:tcPr>
            <w:tcW w:w="7432" w:type="dxa"/>
          </w:tcPr>
          <w:p w:rsidR="00156809" w:rsidRPr="00156809" w:rsidRDefault="00156809" w:rsidP="00156809">
            <w:pPr>
              <w:pStyle w:val="rvps7"/>
              <w:shd w:val="clear" w:color="auto" w:fill="FFFFFF"/>
              <w:spacing w:before="0" w:beforeAutospacing="0" w:after="0" w:afterAutospacing="0"/>
              <w:ind w:firstLine="181"/>
              <w:jc w:val="both"/>
              <w:textAlignment w:val="baseline"/>
              <w:rPr>
                <w:rStyle w:val="rvts15"/>
                <w:bCs/>
                <w:color w:val="000000" w:themeColor="text1"/>
                <w:bdr w:val="none" w:sz="0" w:space="0" w:color="auto" w:frame="1"/>
                <w:lang w:val="uk-UA"/>
              </w:rPr>
            </w:pPr>
            <w:r w:rsidRPr="00156809">
              <w:rPr>
                <w:rStyle w:val="rvts15"/>
                <w:bCs/>
                <w:color w:val="000000" w:themeColor="text1"/>
                <w:bdr w:val="none" w:sz="0" w:space="0" w:color="auto" w:frame="1"/>
                <w:lang w:val="uk-UA"/>
              </w:rPr>
              <w:t>III. Організація та проведення біржових торгів</w:t>
            </w:r>
          </w:p>
          <w:p w:rsidR="00403273" w:rsidRPr="00156809" w:rsidRDefault="00156809" w:rsidP="00156809">
            <w:pPr>
              <w:pStyle w:val="rvps7"/>
              <w:shd w:val="clear" w:color="auto" w:fill="FFFFFF"/>
              <w:spacing w:before="0" w:beforeAutospacing="0" w:after="0" w:afterAutospacing="0"/>
              <w:ind w:firstLine="181"/>
              <w:jc w:val="both"/>
              <w:textAlignment w:val="baseline"/>
              <w:rPr>
                <w:rStyle w:val="rvts15"/>
                <w:bCs/>
                <w:color w:val="000000" w:themeColor="text1"/>
                <w:bdr w:val="none" w:sz="0" w:space="0" w:color="auto" w:frame="1"/>
                <w:lang w:val="uk-UA"/>
              </w:rPr>
            </w:pPr>
            <w:r w:rsidRPr="00156809">
              <w:rPr>
                <w:rStyle w:val="rvts15"/>
                <w:bCs/>
                <w:color w:val="000000" w:themeColor="text1"/>
                <w:bdr w:val="none" w:sz="0" w:space="0" w:color="auto" w:frame="1"/>
                <w:lang w:val="uk-UA"/>
              </w:rPr>
              <w:t>2. Правила фондової біржі щодо порядку організації та проведення біржових торгів повинні визначати:</w:t>
            </w:r>
          </w:p>
          <w:p w:rsidR="00156809" w:rsidRPr="00156809" w:rsidRDefault="00156809" w:rsidP="00156809">
            <w:pPr>
              <w:pStyle w:val="rvps7"/>
              <w:shd w:val="clear" w:color="auto" w:fill="FFFFFF"/>
              <w:spacing w:before="0" w:beforeAutospacing="0" w:after="0" w:afterAutospacing="0"/>
              <w:ind w:firstLine="181"/>
              <w:jc w:val="both"/>
              <w:textAlignment w:val="baseline"/>
              <w:rPr>
                <w:rStyle w:val="rvts15"/>
                <w:bCs/>
                <w:color w:val="000000" w:themeColor="text1"/>
                <w:bdr w:val="none" w:sz="0" w:space="0" w:color="auto" w:frame="1"/>
                <w:lang w:val="uk-UA"/>
              </w:rPr>
            </w:pPr>
            <w:r>
              <w:rPr>
                <w:rStyle w:val="rvts15"/>
                <w:bCs/>
                <w:color w:val="000000" w:themeColor="text1"/>
                <w:bdr w:val="none" w:sz="0" w:space="0" w:color="auto" w:frame="1"/>
                <w:lang w:val="uk-UA"/>
              </w:rPr>
              <w:t>…</w:t>
            </w:r>
          </w:p>
          <w:p w:rsidR="00156809" w:rsidRDefault="00156809" w:rsidP="00156809">
            <w:pPr>
              <w:pStyle w:val="rvps7"/>
              <w:shd w:val="clear" w:color="auto" w:fill="FFFFFF"/>
              <w:spacing w:before="0" w:beforeAutospacing="0" w:after="0" w:afterAutospacing="0"/>
              <w:ind w:firstLine="181"/>
              <w:jc w:val="both"/>
              <w:textAlignment w:val="baseline"/>
              <w:rPr>
                <w:rStyle w:val="rvts15"/>
                <w:b/>
                <w:bCs/>
                <w:color w:val="000000" w:themeColor="text1"/>
                <w:bdr w:val="none" w:sz="0" w:space="0" w:color="auto" w:frame="1"/>
                <w:lang w:val="uk-UA"/>
              </w:rPr>
            </w:pPr>
            <w:r w:rsidRPr="00156809">
              <w:rPr>
                <w:rStyle w:val="rvts15"/>
                <w:bCs/>
                <w:color w:val="000000" w:themeColor="text1"/>
                <w:bdr w:val="none" w:sz="0" w:space="0" w:color="auto" w:frame="1"/>
                <w:lang w:val="uk-UA"/>
              </w:rPr>
              <w:t>вимоги до учасників біржових торгів, їх права та обов'язки, у тому числі щодо інформування учасником біржових торгів (крім державних органів) фондової біржі про виконання</w:t>
            </w:r>
            <w:r w:rsidRPr="00156809">
              <w:rPr>
                <w:rStyle w:val="rvts15"/>
                <w:b/>
                <w:bCs/>
                <w:color w:val="000000" w:themeColor="text1"/>
                <w:bdr w:val="none" w:sz="0" w:space="0" w:color="auto" w:frame="1"/>
                <w:lang w:val="uk-UA"/>
              </w:rPr>
              <w:t xml:space="preserve"> грошових розрахунків щодо біржового контракту (договору), укладеного без дотримання принципу "поставка цінних паперів проти оплати" у випадках, передбачених законодавством, </w:t>
            </w:r>
            <w:r w:rsidRPr="00156809">
              <w:rPr>
                <w:rStyle w:val="rvts15"/>
                <w:bCs/>
                <w:color w:val="000000" w:themeColor="text1"/>
                <w:bdr w:val="none" w:sz="0" w:space="0" w:color="auto" w:frame="1"/>
                <w:lang w:val="uk-UA"/>
              </w:rPr>
              <w:t>протягом однієї години після виконання</w:t>
            </w:r>
            <w:r w:rsidRPr="00156809">
              <w:rPr>
                <w:rStyle w:val="rvts15"/>
                <w:b/>
                <w:bCs/>
                <w:color w:val="000000" w:themeColor="text1"/>
                <w:bdr w:val="none" w:sz="0" w:space="0" w:color="auto" w:frame="1"/>
                <w:lang w:val="uk-UA"/>
              </w:rPr>
              <w:t xml:space="preserve"> грошових розрахунків щодо </w:t>
            </w:r>
            <w:r w:rsidRPr="00156809">
              <w:rPr>
                <w:rStyle w:val="rvts15"/>
                <w:bCs/>
                <w:color w:val="000000" w:themeColor="text1"/>
                <w:bdr w:val="none" w:sz="0" w:space="0" w:color="auto" w:frame="1"/>
                <w:lang w:val="uk-UA"/>
              </w:rPr>
              <w:t>такого біржового контракту (договору), крім випадків, коли таку інформацію отримує фондова біржа від</w:t>
            </w:r>
            <w:r w:rsidRPr="00156809">
              <w:rPr>
                <w:rStyle w:val="rvts15"/>
                <w:b/>
                <w:bCs/>
                <w:color w:val="000000" w:themeColor="text1"/>
                <w:bdr w:val="none" w:sz="0" w:space="0" w:color="auto" w:frame="1"/>
                <w:lang w:val="uk-UA"/>
              </w:rPr>
              <w:t xml:space="preserve"> особи, що провадить клірингову діяльність відповідно до Закону України "Про цінні папери та фондовий ринок", або Центрального депозитарію цінних паперів, або Національного банку України;</w:t>
            </w:r>
          </w:p>
          <w:p w:rsidR="00F93575" w:rsidRDefault="00F93575" w:rsidP="00156809">
            <w:pPr>
              <w:pStyle w:val="rvps7"/>
              <w:shd w:val="clear" w:color="auto" w:fill="FFFFFF"/>
              <w:spacing w:before="0" w:beforeAutospacing="0" w:after="0" w:afterAutospacing="0"/>
              <w:ind w:firstLine="181"/>
              <w:jc w:val="both"/>
              <w:textAlignment w:val="baseline"/>
              <w:rPr>
                <w:rStyle w:val="rvts15"/>
                <w:b/>
                <w:bCs/>
                <w:color w:val="000000" w:themeColor="text1"/>
                <w:bdr w:val="none" w:sz="0" w:space="0" w:color="auto" w:frame="1"/>
                <w:lang w:val="uk-UA"/>
              </w:rPr>
            </w:pPr>
            <w:r>
              <w:rPr>
                <w:rStyle w:val="rvts15"/>
                <w:b/>
                <w:bCs/>
                <w:color w:val="000000" w:themeColor="text1"/>
                <w:bdr w:val="none" w:sz="0" w:space="0" w:color="auto" w:frame="1"/>
                <w:lang w:val="uk-UA"/>
              </w:rPr>
              <w:t>…</w:t>
            </w:r>
          </w:p>
          <w:p w:rsidR="00F93575" w:rsidRPr="00AA5EF2" w:rsidRDefault="00F93575" w:rsidP="00156809">
            <w:pPr>
              <w:pStyle w:val="rvps7"/>
              <w:shd w:val="clear" w:color="auto" w:fill="FFFFFF"/>
              <w:spacing w:before="0" w:beforeAutospacing="0" w:after="0" w:afterAutospacing="0"/>
              <w:ind w:firstLine="181"/>
              <w:jc w:val="both"/>
              <w:textAlignment w:val="baseline"/>
              <w:rPr>
                <w:rStyle w:val="rvts15"/>
                <w:b/>
                <w:bCs/>
                <w:color w:val="000000" w:themeColor="text1"/>
                <w:bdr w:val="none" w:sz="0" w:space="0" w:color="auto" w:frame="1"/>
                <w:lang w:val="uk-UA"/>
              </w:rPr>
            </w:pPr>
            <w:r w:rsidRPr="00FB261F">
              <w:rPr>
                <w:rStyle w:val="rvts15"/>
                <w:bCs/>
                <w:color w:val="000000" w:themeColor="text1"/>
                <w:bdr w:val="none" w:sz="0" w:space="0" w:color="auto" w:frame="1"/>
                <w:lang w:val="uk-UA"/>
              </w:rPr>
              <w:t>процедуру формування переліку заявок учасників біржових торгів, який повинен містити щонайменше такі дані: номер заявки; найменування та код учасника торгів, який подав заявку;</w:t>
            </w:r>
            <w:r w:rsidRPr="00F93575">
              <w:rPr>
                <w:rStyle w:val="rvts15"/>
                <w:b/>
                <w:bCs/>
                <w:color w:val="000000" w:themeColor="text1"/>
                <w:bdr w:val="none" w:sz="0" w:space="0" w:color="auto" w:frame="1"/>
                <w:lang w:val="uk-UA"/>
              </w:rPr>
              <w:t xml:space="preserve"> код клієнта цього учасника торгів; </w:t>
            </w:r>
            <w:r w:rsidRPr="00FB261F">
              <w:rPr>
                <w:rStyle w:val="rvts15"/>
                <w:bCs/>
                <w:color w:val="000000" w:themeColor="text1"/>
                <w:bdr w:val="none" w:sz="0" w:space="0" w:color="auto" w:frame="1"/>
                <w:lang w:val="uk-UA"/>
              </w:rPr>
              <w:t>умови заявки; вид заявки; реквізити цінного папера або іншого фінансового інструменту, щодо якого подано заявку; кількість цінних паперів або інших фінансових інструментів, щодо яких учасником подано заявку; дату та час реєстрації заявки;</w:t>
            </w:r>
          </w:p>
        </w:tc>
      </w:tr>
      <w:tr w:rsidR="00403273" w:rsidRPr="00AA5EF2" w:rsidTr="00904961">
        <w:trPr>
          <w:jc w:val="center"/>
        </w:trPr>
        <w:tc>
          <w:tcPr>
            <w:tcW w:w="7431" w:type="dxa"/>
          </w:tcPr>
          <w:p w:rsidR="00576E37" w:rsidRPr="00576E37" w:rsidRDefault="00576E37" w:rsidP="00576E37">
            <w:pPr>
              <w:pStyle w:val="rvps7"/>
              <w:shd w:val="clear" w:color="auto" w:fill="FFFFFF"/>
              <w:spacing w:before="0" w:beforeAutospacing="0" w:after="0" w:afterAutospacing="0"/>
              <w:ind w:left="40" w:firstLine="181"/>
              <w:jc w:val="both"/>
              <w:textAlignment w:val="baseline"/>
              <w:rPr>
                <w:rStyle w:val="rvts15"/>
                <w:bCs/>
                <w:color w:val="000000" w:themeColor="text1"/>
                <w:bdr w:val="none" w:sz="0" w:space="0" w:color="auto" w:frame="1"/>
                <w:lang w:val="uk-UA"/>
              </w:rPr>
            </w:pPr>
            <w:r w:rsidRPr="00576E37">
              <w:rPr>
                <w:rStyle w:val="rvts15"/>
                <w:bCs/>
                <w:color w:val="000000" w:themeColor="text1"/>
                <w:bdr w:val="none" w:sz="0" w:space="0" w:color="auto" w:frame="1"/>
                <w:lang w:val="uk-UA"/>
              </w:rPr>
              <w:t>5. Допуск цінних паперів та інших фінансових інструментів до торгівлі на фондовій біржі здійснюється шляхом їх внесення до біржового списку.</w:t>
            </w:r>
          </w:p>
          <w:p w:rsidR="00403273" w:rsidRPr="00576E37" w:rsidRDefault="00576E37" w:rsidP="00576E37">
            <w:pPr>
              <w:pStyle w:val="rvps7"/>
              <w:shd w:val="clear" w:color="auto" w:fill="FFFFFF"/>
              <w:spacing w:before="0" w:beforeAutospacing="0" w:after="0" w:afterAutospacing="0"/>
              <w:ind w:left="40" w:firstLine="181"/>
              <w:jc w:val="both"/>
              <w:textAlignment w:val="baseline"/>
              <w:rPr>
                <w:rStyle w:val="rvts15"/>
                <w:b/>
                <w:bCs/>
                <w:strike/>
                <w:color w:val="000000" w:themeColor="text1"/>
                <w:bdr w:val="none" w:sz="0" w:space="0" w:color="auto" w:frame="1"/>
                <w:lang w:val="uk-UA"/>
              </w:rPr>
            </w:pPr>
            <w:r w:rsidRPr="00576E37">
              <w:rPr>
                <w:rStyle w:val="rvts15"/>
                <w:b/>
                <w:bCs/>
                <w:strike/>
                <w:color w:val="000000" w:themeColor="text1"/>
                <w:bdr w:val="none" w:sz="0" w:space="0" w:color="auto" w:frame="1"/>
                <w:lang w:val="uk-UA"/>
              </w:rPr>
              <w:t xml:space="preserve">Цінні папери та інші фінансові інструменти, обіг яких здійснюється на фондовій біржі, можуть перебувати у біржовому списку цієї фондової біржі не більше 60 календарних днів без проведення за ними біржових торгів. У разі </w:t>
            </w:r>
            <w:proofErr w:type="spellStart"/>
            <w:r w:rsidRPr="00576E37">
              <w:rPr>
                <w:rStyle w:val="rvts15"/>
                <w:b/>
                <w:bCs/>
                <w:strike/>
                <w:color w:val="000000" w:themeColor="text1"/>
                <w:bdr w:val="none" w:sz="0" w:space="0" w:color="auto" w:frame="1"/>
                <w:lang w:val="uk-UA"/>
              </w:rPr>
              <w:t>непроведення</w:t>
            </w:r>
            <w:proofErr w:type="spellEnd"/>
            <w:r w:rsidRPr="00576E37">
              <w:rPr>
                <w:rStyle w:val="rvts15"/>
                <w:b/>
                <w:bCs/>
                <w:strike/>
                <w:color w:val="000000" w:themeColor="text1"/>
                <w:bdr w:val="none" w:sz="0" w:space="0" w:color="auto" w:frame="1"/>
                <w:lang w:val="uk-UA"/>
              </w:rPr>
              <w:t xml:space="preserve"> біржових торгів протягом 60 календарних днів за цінними паперами та іншими фінансовими інструментами такі цінні папери та інші фінансові інструменти виключаються із </w:t>
            </w:r>
            <w:r w:rsidRPr="00576E37">
              <w:rPr>
                <w:rStyle w:val="rvts15"/>
                <w:b/>
                <w:bCs/>
                <w:strike/>
                <w:color w:val="000000" w:themeColor="text1"/>
                <w:bdr w:val="none" w:sz="0" w:space="0" w:color="auto" w:frame="1"/>
                <w:lang w:val="uk-UA"/>
              </w:rPr>
              <w:lastRenderedPageBreak/>
              <w:t>біржового списку, крім цінних паперів, що знаходяться у процесі розміщення або пропонуються до продажу на фондових біржах у процесі приватизації, акцій публічних акціонерних товариств, 100 відсотків акцій яких належать одному акціонеру, у тому числі державі, інших фінансових інструментів.</w:t>
            </w:r>
          </w:p>
        </w:tc>
        <w:tc>
          <w:tcPr>
            <w:tcW w:w="7432" w:type="dxa"/>
          </w:tcPr>
          <w:p w:rsidR="00403273" w:rsidRPr="00576E37" w:rsidRDefault="00576E37" w:rsidP="00576E37">
            <w:pPr>
              <w:pStyle w:val="rvps7"/>
              <w:shd w:val="clear" w:color="auto" w:fill="FFFFFF"/>
              <w:tabs>
                <w:tab w:val="left" w:pos="7216"/>
              </w:tabs>
              <w:spacing w:before="0" w:beforeAutospacing="0" w:after="0" w:afterAutospacing="0"/>
              <w:ind w:left="-5" w:firstLine="181"/>
              <w:jc w:val="both"/>
              <w:textAlignment w:val="baseline"/>
              <w:rPr>
                <w:rStyle w:val="rvts15"/>
                <w:bCs/>
                <w:color w:val="000000" w:themeColor="text1"/>
                <w:bdr w:val="none" w:sz="0" w:space="0" w:color="auto" w:frame="1"/>
                <w:lang w:val="uk-UA"/>
              </w:rPr>
            </w:pPr>
            <w:r w:rsidRPr="00576E37">
              <w:rPr>
                <w:rStyle w:val="rvts15"/>
                <w:bCs/>
                <w:color w:val="000000" w:themeColor="text1"/>
                <w:bdr w:val="none" w:sz="0" w:space="0" w:color="auto" w:frame="1"/>
                <w:lang w:val="uk-UA"/>
              </w:rPr>
              <w:lastRenderedPageBreak/>
              <w:t>5. Допуск цінних паперів та інших фінансових інструментів до торгівлі на фондовій біржі здійснюється шляхом їх внесення до біржового списку.</w:t>
            </w:r>
          </w:p>
          <w:p w:rsidR="00576E37" w:rsidRPr="00576E37" w:rsidRDefault="00576E37" w:rsidP="00576E37">
            <w:pPr>
              <w:pStyle w:val="rvps7"/>
              <w:shd w:val="clear" w:color="auto" w:fill="FFFFFF"/>
              <w:tabs>
                <w:tab w:val="left" w:pos="7216"/>
              </w:tabs>
              <w:spacing w:before="0" w:beforeAutospacing="0" w:after="0" w:afterAutospacing="0"/>
              <w:ind w:left="-5" w:firstLine="181"/>
              <w:jc w:val="both"/>
              <w:textAlignment w:val="baseline"/>
              <w:rPr>
                <w:rStyle w:val="rvts15"/>
                <w:b/>
                <w:bCs/>
                <w:color w:val="000000" w:themeColor="text1"/>
                <w:bdr w:val="none" w:sz="0" w:space="0" w:color="auto" w:frame="1"/>
                <w:lang w:val="uk-UA"/>
              </w:rPr>
            </w:pPr>
            <w:r w:rsidRPr="00576E37">
              <w:rPr>
                <w:rStyle w:val="rvts15"/>
                <w:b/>
                <w:bCs/>
                <w:color w:val="000000" w:themeColor="text1"/>
                <w:bdr w:val="none" w:sz="0" w:space="0" w:color="auto" w:frame="1"/>
                <w:lang w:val="uk-UA"/>
              </w:rPr>
              <w:t>Фондова біржа оприлюднює біржовий список на власному веб-сайті (у цілодобовому режимі).</w:t>
            </w:r>
          </w:p>
        </w:tc>
      </w:tr>
      <w:tr w:rsidR="00854C0F" w:rsidRPr="00AA5EF2" w:rsidTr="00904961">
        <w:trPr>
          <w:jc w:val="center"/>
        </w:trPr>
        <w:tc>
          <w:tcPr>
            <w:tcW w:w="7431" w:type="dxa"/>
          </w:tcPr>
          <w:p w:rsidR="00854C0F" w:rsidRPr="00854C0F" w:rsidRDefault="00854C0F" w:rsidP="00854C0F">
            <w:pPr>
              <w:pStyle w:val="rvps7"/>
              <w:shd w:val="clear" w:color="auto" w:fill="FFFFFF"/>
              <w:spacing w:before="0" w:beforeAutospacing="0" w:after="0" w:afterAutospacing="0"/>
              <w:ind w:right="-53" w:firstLine="181"/>
              <w:jc w:val="both"/>
              <w:textAlignment w:val="baseline"/>
              <w:rPr>
                <w:rStyle w:val="rvts15"/>
                <w:color w:val="000000" w:themeColor="text1"/>
                <w:shd w:val="clear" w:color="auto" w:fill="FFFFFF"/>
                <w:lang w:val="uk-UA"/>
              </w:rPr>
            </w:pPr>
            <w:r w:rsidRPr="00854C0F">
              <w:rPr>
                <w:rStyle w:val="rvts15"/>
                <w:color w:val="000000" w:themeColor="text1"/>
                <w:shd w:val="clear" w:color="auto" w:fill="FFFFFF"/>
                <w:lang w:val="uk-UA"/>
              </w:rPr>
              <w:lastRenderedPageBreak/>
              <w:t>8. Допуск до торгівлі без внесення до біржового реєстру може здійснюватися за ініціативою емітента, члена фондової біржі, фондової біржі, компанії з управління активами (щодо цінних паперів інститутів спільного інвестування, які містяться в управлінні компанії з управління активами), іншої особи, у тому числі державного органу, які мають право брати участь у біржових торгах згідно із законодавством.</w:t>
            </w:r>
          </w:p>
          <w:p w:rsidR="00854C0F" w:rsidRPr="00854C0F" w:rsidRDefault="00854C0F" w:rsidP="00854C0F">
            <w:pPr>
              <w:pStyle w:val="rvps7"/>
              <w:shd w:val="clear" w:color="auto" w:fill="FFFFFF"/>
              <w:spacing w:before="0" w:beforeAutospacing="0" w:after="0" w:afterAutospacing="0"/>
              <w:ind w:right="-53" w:firstLine="181"/>
              <w:jc w:val="both"/>
              <w:textAlignment w:val="baseline"/>
              <w:rPr>
                <w:rStyle w:val="rvts15"/>
                <w:color w:val="000000" w:themeColor="text1"/>
                <w:shd w:val="clear" w:color="auto" w:fill="FFFFFF"/>
                <w:lang w:val="uk-UA"/>
              </w:rPr>
            </w:pPr>
            <w:r>
              <w:rPr>
                <w:rStyle w:val="rvts15"/>
                <w:color w:val="000000" w:themeColor="text1"/>
                <w:shd w:val="clear" w:color="auto" w:fill="FFFFFF"/>
                <w:lang w:val="uk-UA"/>
              </w:rPr>
              <w:t>…</w:t>
            </w:r>
          </w:p>
          <w:p w:rsidR="00854C0F" w:rsidRPr="00854C0F" w:rsidRDefault="00854C0F" w:rsidP="00854C0F">
            <w:pPr>
              <w:pStyle w:val="rvps7"/>
              <w:shd w:val="clear" w:color="auto" w:fill="FFFFFF"/>
              <w:spacing w:before="0" w:beforeAutospacing="0" w:after="0" w:afterAutospacing="0"/>
              <w:ind w:right="-53" w:firstLine="181"/>
              <w:jc w:val="both"/>
              <w:textAlignment w:val="baseline"/>
              <w:rPr>
                <w:rStyle w:val="rvts15"/>
                <w:color w:val="000000" w:themeColor="text1"/>
                <w:shd w:val="clear" w:color="auto" w:fill="FFFFFF"/>
                <w:lang w:val="uk-UA"/>
              </w:rPr>
            </w:pPr>
            <w:r w:rsidRPr="00854C0F">
              <w:rPr>
                <w:rStyle w:val="rvts15"/>
                <w:color w:val="000000" w:themeColor="text1"/>
                <w:shd w:val="clear" w:color="auto" w:fill="FFFFFF"/>
                <w:lang w:val="uk-UA"/>
              </w:rPr>
              <w:t>Не допускається внесення до біржового списку цінних паперів та інших фінансових інструментів, емітенти яких визнані банкрутом або щодо яких застосовується ліквідаційна процедура, крім цінних паперів, які пропонуються до</w:t>
            </w:r>
            <w:r>
              <w:rPr>
                <w:rStyle w:val="rvts15"/>
                <w:color w:val="000000" w:themeColor="text1"/>
                <w:shd w:val="clear" w:color="auto" w:fill="FFFFFF"/>
                <w:lang w:val="uk-UA"/>
              </w:rPr>
              <w:t xml:space="preserve"> продажу в процесі приватизації </w:t>
            </w:r>
          </w:p>
        </w:tc>
        <w:tc>
          <w:tcPr>
            <w:tcW w:w="7432" w:type="dxa"/>
          </w:tcPr>
          <w:p w:rsidR="00854C0F" w:rsidRPr="00854C0F" w:rsidRDefault="00854C0F" w:rsidP="00EE084B">
            <w:pPr>
              <w:pStyle w:val="rvps7"/>
              <w:shd w:val="clear" w:color="auto" w:fill="FFFFFF"/>
              <w:spacing w:before="0" w:beforeAutospacing="0" w:after="0" w:afterAutospacing="0"/>
              <w:ind w:right="-53" w:firstLine="181"/>
              <w:jc w:val="both"/>
              <w:textAlignment w:val="baseline"/>
              <w:rPr>
                <w:rStyle w:val="rvts15"/>
                <w:color w:val="000000" w:themeColor="text1"/>
                <w:shd w:val="clear" w:color="auto" w:fill="FFFFFF"/>
                <w:lang w:val="uk-UA"/>
              </w:rPr>
            </w:pPr>
            <w:r w:rsidRPr="00854C0F">
              <w:rPr>
                <w:rStyle w:val="rvts15"/>
                <w:color w:val="000000" w:themeColor="text1"/>
                <w:shd w:val="clear" w:color="auto" w:fill="FFFFFF"/>
                <w:lang w:val="uk-UA"/>
              </w:rPr>
              <w:t>8. Допуск до торгівлі без внесення до біржового реєстру може здійснюватися за ініціативою емітента, члена фондової біржі, фондової біржі, компанії з управління активами (щодо цінних паперів інститутів спільного інвестування, які містяться в управлінні компанії з управління активами), іншої особи, у тому числі державного органу, які мають право брати участь у біржових торгах згідно із законодавством.</w:t>
            </w:r>
          </w:p>
          <w:p w:rsidR="00854C0F" w:rsidRPr="00854C0F" w:rsidRDefault="00854C0F" w:rsidP="00EE084B">
            <w:pPr>
              <w:pStyle w:val="rvps7"/>
              <w:shd w:val="clear" w:color="auto" w:fill="FFFFFF"/>
              <w:spacing w:before="0" w:beforeAutospacing="0" w:after="0" w:afterAutospacing="0"/>
              <w:ind w:right="-53" w:firstLine="181"/>
              <w:jc w:val="both"/>
              <w:textAlignment w:val="baseline"/>
              <w:rPr>
                <w:rStyle w:val="rvts15"/>
                <w:color w:val="000000" w:themeColor="text1"/>
                <w:shd w:val="clear" w:color="auto" w:fill="FFFFFF"/>
                <w:lang w:val="uk-UA"/>
              </w:rPr>
            </w:pPr>
            <w:r>
              <w:rPr>
                <w:rStyle w:val="rvts15"/>
                <w:color w:val="000000" w:themeColor="text1"/>
                <w:shd w:val="clear" w:color="auto" w:fill="FFFFFF"/>
                <w:lang w:val="uk-UA"/>
              </w:rPr>
              <w:t>…</w:t>
            </w:r>
          </w:p>
          <w:p w:rsidR="00854C0F" w:rsidRPr="00854C0F" w:rsidRDefault="00854C0F" w:rsidP="00854C0F">
            <w:pPr>
              <w:pStyle w:val="rvps7"/>
              <w:shd w:val="clear" w:color="auto" w:fill="FFFFFF"/>
              <w:spacing w:before="0" w:beforeAutospacing="0" w:after="0" w:afterAutospacing="0"/>
              <w:ind w:right="-53" w:firstLine="181"/>
              <w:jc w:val="both"/>
              <w:textAlignment w:val="baseline"/>
              <w:rPr>
                <w:rStyle w:val="rvts15"/>
                <w:color w:val="000000" w:themeColor="text1"/>
                <w:shd w:val="clear" w:color="auto" w:fill="FFFFFF"/>
                <w:lang w:val="uk-UA"/>
              </w:rPr>
            </w:pPr>
            <w:r w:rsidRPr="00854C0F">
              <w:rPr>
                <w:rStyle w:val="rvts15"/>
                <w:color w:val="000000" w:themeColor="text1"/>
                <w:shd w:val="clear" w:color="auto" w:fill="FFFFFF"/>
                <w:lang w:val="uk-UA"/>
              </w:rPr>
              <w:t>Не допускається внесення до біржового списку цінних паперів та інших фінансових інструментів, емітенти яких визнані банкрутом або щодо яких застосовується ліквідаційна процедура, крім цінних паперів, які пропонуються до</w:t>
            </w:r>
            <w:r>
              <w:rPr>
                <w:rStyle w:val="rvts15"/>
                <w:color w:val="000000" w:themeColor="text1"/>
                <w:shd w:val="clear" w:color="auto" w:fill="FFFFFF"/>
                <w:lang w:val="uk-UA"/>
              </w:rPr>
              <w:t xml:space="preserve"> продажу в процесі приватизації</w:t>
            </w:r>
            <w:r w:rsidRPr="00854C0F">
              <w:rPr>
                <w:lang w:val="uk-UA"/>
              </w:rPr>
              <w:t xml:space="preserve">, </w:t>
            </w:r>
            <w:r w:rsidRPr="00854C0F">
              <w:rPr>
                <w:b/>
                <w:lang w:val="uk-UA"/>
              </w:rPr>
              <w:t>та на виконання судових рішень щодо реалізації цінних паперів, на які звернено стягнення</w:t>
            </w:r>
            <w:r w:rsidRPr="00854C0F">
              <w:rPr>
                <w:b/>
                <w:lang w:val="uk-UA"/>
              </w:rPr>
              <w:t>.</w:t>
            </w:r>
          </w:p>
        </w:tc>
      </w:tr>
      <w:tr w:rsidR="00854C0F" w:rsidRPr="00AA5EF2" w:rsidTr="00904961">
        <w:trPr>
          <w:jc w:val="center"/>
        </w:trPr>
        <w:tc>
          <w:tcPr>
            <w:tcW w:w="7431" w:type="dxa"/>
          </w:tcPr>
          <w:p w:rsidR="00FA0DB0" w:rsidRPr="00FA0DB0" w:rsidRDefault="00FA0DB0" w:rsidP="00FA0DB0">
            <w:pPr>
              <w:pStyle w:val="rvps7"/>
              <w:shd w:val="clear" w:color="auto" w:fill="FFFFFF"/>
              <w:spacing w:before="0" w:beforeAutospacing="0" w:after="0" w:afterAutospacing="0"/>
              <w:ind w:right="8" w:firstLine="181"/>
              <w:jc w:val="both"/>
              <w:textAlignment w:val="baseline"/>
              <w:rPr>
                <w:rStyle w:val="rvts15"/>
                <w:bCs/>
                <w:color w:val="000000" w:themeColor="text1"/>
                <w:bdr w:val="none" w:sz="0" w:space="0" w:color="auto" w:frame="1"/>
                <w:lang w:val="uk-UA"/>
              </w:rPr>
            </w:pPr>
            <w:r w:rsidRPr="00FA0DB0">
              <w:rPr>
                <w:rStyle w:val="rvts15"/>
                <w:bCs/>
                <w:color w:val="000000" w:themeColor="text1"/>
                <w:bdr w:val="none" w:sz="0" w:space="0" w:color="auto" w:frame="1"/>
                <w:lang w:val="uk-UA"/>
              </w:rPr>
              <w:t>12. Припинення торгівлі цінним папером або іншим фінансовим інструментом здійснюється фондовою біржею за таких підстав:</w:t>
            </w:r>
          </w:p>
          <w:p w:rsidR="00FA0DB0" w:rsidRPr="00FA0DB0" w:rsidRDefault="00FA0DB0" w:rsidP="00FA0DB0">
            <w:pPr>
              <w:pStyle w:val="rvps7"/>
              <w:shd w:val="clear" w:color="auto" w:fill="FFFFFF"/>
              <w:spacing w:before="0" w:beforeAutospacing="0" w:after="0" w:afterAutospacing="0"/>
              <w:ind w:right="8" w:firstLine="181"/>
              <w:jc w:val="both"/>
              <w:textAlignment w:val="baseline"/>
              <w:rPr>
                <w:rStyle w:val="rvts15"/>
                <w:bCs/>
                <w:color w:val="000000" w:themeColor="text1"/>
                <w:bdr w:val="none" w:sz="0" w:space="0" w:color="auto" w:frame="1"/>
                <w:lang w:val="uk-UA"/>
              </w:rPr>
            </w:pPr>
            <w:r w:rsidRPr="00FA0DB0">
              <w:rPr>
                <w:rStyle w:val="rvts15"/>
                <w:bCs/>
                <w:color w:val="000000" w:themeColor="text1"/>
                <w:bdr w:val="none" w:sz="0" w:space="0" w:color="auto" w:frame="1"/>
                <w:lang w:val="uk-UA"/>
              </w:rPr>
              <w:t>…</w:t>
            </w:r>
          </w:p>
          <w:p w:rsidR="00FA0DB0" w:rsidRPr="00FA0DB0" w:rsidRDefault="00FA0DB0" w:rsidP="00FA0DB0">
            <w:pPr>
              <w:pStyle w:val="rvps7"/>
              <w:shd w:val="clear" w:color="auto" w:fill="FFFFFF"/>
              <w:spacing w:before="0" w:beforeAutospacing="0" w:after="0" w:afterAutospacing="0"/>
              <w:ind w:right="8" w:firstLine="181"/>
              <w:jc w:val="both"/>
              <w:textAlignment w:val="baseline"/>
              <w:rPr>
                <w:rStyle w:val="rvts15"/>
                <w:bCs/>
                <w:color w:val="000000" w:themeColor="text1"/>
                <w:bdr w:val="none" w:sz="0" w:space="0" w:color="auto" w:frame="1"/>
                <w:lang w:val="uk-UA"/>
              </w:rPr>
            </w:pPr>
            <w:proofErr w:type="spellStart"/>
            <w:r w:rsidRPr="00FA0DB0">
              <w:rPr>
                <w:rStyle w:val="rvts15"/>
                <w:bCs/>
                <w:color w:val="000000" w:themeColor="text1"/>
                <w:bdr w:val="none" w:sz="0" w:space="0" w:color="auto" w:frame="1"/>
                <w:lang w:val="uk-UA"/>
              </w:rPr>
              <w:t>нерозкриття</w:t>
            </w:r>
            <w:proofErr w:type="spellEnd"/>
            <w:r w:rsidRPr="00FA0DB0">
              <w:rPr>
                <w:rStyle w:val="rvts15"/>
                <w:bCs/>
                <w:color w:val="000000" w:themeColor="text1"/>
                <w:bdr w:val="none" w:sz="0" w:space="0" w:color="auto" w:frame="1"/>
                <w:lang w:val="uk-UA"/>
              </w:rPr>
              <w:t xml:space="preserve"> емітентом цінних паперів, які знаходяться у біржовому реєстрі, інформації перед фондовою біржею, якщо надання такої інформації передбачено правилами фондової біржі та договором між фондовою біржею та емітентом.</w:t>
            </w:r>
          </w:p>
          <w:p w:rsidR="00854C0F" w:rsidRPr="00FA0DB0" w:rsidRDefault="00FA0DB0" w:rsidP="00854C0F">
            <w:pPr>
              <w:pStyle w:val="rvps7"/>
              <w:shd w:val="clear" w:color="auto" w:fill="FFFFFF"/>
              <w:tabs>
                <w:tab w:val="left" w:pos="7126"/>
              </w:tabs>
              <w:spacing w:before="0" w:beforeAutospacing="0" w:after="0" w:afterAutospacing="0"/>
              <w:ind w:right="89" w:firstLine="181"/>
              <w:jc w:val="both"/>
              <w:textAlignment w:val="baseline"/>
              <w:rPr>
                <w:rStyle w:val="rvts15"/>
                <w:b/>
                <w:color w:val="000000" w:themeColor="text1"/>
                <w:shd w:val="clear" w:color="auto" w:fill="FFFFFF"/>
                <w:lang w:val="uk-UA"/>
              </w:rPr>
            </w:pPr>
            <w:r w:rsidRPr="00FA0DB0">
              <w:rPr>
                <w:rStyle w:val="rvts15"/>
                <w:b/>
                <w:color w:val="000000" w:themeColor="text1"/>
                <w:shd w:val="clear" w:color="auto" w:fill="FFFFFF"/>
                <w:lang w:val="uk-UA"/>
              </w:rPr>
              <w:t>Відсутній</w:t>
            </w:r>
          </w:p>
        </w:tc>
        <w:tc>
          <w:tcPr>
            <w:tcW w:w="7432" w:type="dxa"/>
          </w:tcPr>
          <w:p w:rsidR="00854C0F" w:rsidRPr="00FA0DB0" w:rsidRDefault="00FA0DB0" w:rsidP="00FA0DB0">
            <w:pPr>
              <w:pStyle w:val="rvps7"/>
              <w:shd w:val="clear" w:color="auto" w:fill="FFFFFF"/>
              <w:spacing w:before="0" w:beforeAutospacing="0" w:after="0" w:afterAutospacing="0"/>
              <w:ind w:right="8" w:firstLine="181"/>
              <w:jc w:val="both"/>
              <w:textAlignment w:val="baseline"/>
              <w:rPr>
                <w:rStyle w:val="rvts15"/>
                <w:bCs/>
                <w:color w:val="000000" w:themeColor="text1"/>
                <w:bdr w:val="none" w:sz="0" w:space="0" w:color="auto" w:frame="1"/>
                <w:lang w:val="uk-UA"/>
              </w:rPr>
            </w:pPr>
            <w:r w:rsidRPr="00FA0DB0">
              <w:rPr>
                <w:rStyle w:val="rvts15"/>
                <w:bCs/>
                <w:color w:val="000000" w:themeColor="text1"/>
                <w:bdr w:val="none" w:sz="0" w:space="0" w:color="auto" w:frame="1"/>
                <w:lang w:val="uk-UA"/>
              </w:rPr>
              <w:t>12. Припинення торгівлі цінним папером або іншим фінансовим інструментом здійснюється фондовою біржею за таких підстав:</w:t>
            </w:r>
          </w:p>
          <w:p w:rsidR="00FA0DB0" w:rsidRPr="00FA0DB0" w:rsidRDefault="00FA0DB0" w:rsidP="00FA0DB0">
            <w:pPr>
              <w:pStyle w:val="rvps7"/>
              <w:shd w:val="clear" w:color="auto" w:fill="FFFFFF"/>
              <w:spacing w:before="0" w:beforeAutospacing="0" w:after="0" w:afterAutospacing="0"/>
              <w:ind w:right="8" w:firstLine="181"/>
              <w:jc w:val="both"/>
              <w:textAlignment w:val="baseline"/>
              <w:rPr>
                <w:rStyle w:val="rvts15"/>
                <w:bCs/>
                <w:color w:val="000000" w:themeColor="text1"/>
                <w:bdr w:val="none" w:sz="0" w:space="0" w:color="auto" w:frame="1"/>
                <w:lang w:val="uk-UA"/>
              </w:rPr>
            </w:pPr>
            <w:r w:rsidRPr="00FA0DB0">
              <w:rPr>
                <w:rStyle w:val="rvts15"/>
                <w:bCs/>
                <w:color w:val="000000" w:themeColor="text1"/>
                <w:bdr w:val="none" w:sz="0" w:space="0" w:color="auto" w:frame="1"/>
                <w:lang w:val="uk-UA"/>
              </w:rPr>
              <w:t>…</w:t>
            </w:r>
          </w:p>
          <w:p w:rsidR="00FA0DB0" w:rsidRPr="00FA0DB0" w:rsidRDefault="00FA0DB0" w:rsidP="00FA0DB0">
            <w:pPr>
              <w:pStyle w:val="rvps7"/>
              <w:shd w:val="clear" w:color="auto" w:fill="FFFFFF"/>
              <w:spacing w:before="0" w:beforeAutospacing="0" w:after="0" w:afterAutospacing="0"/>
              <w:ind w:right="8" w:firstLine="181"/>
              <w:jc w:val="both"/>
              <w:textAlignment w:val="baseline"/>
              <w:rPr>
                <w:rStyle w:val="rvts15"/>
                <w:bCs/>
                <w:color w:val="000000" w:themeColor="text1"/>
                <w:bdr w:val="none" w:sz="0" w:space="0" w:color="auto" w:frame="1"/>
                <w:lang w:val="uk-UA"/>
              </w:rPr>
            </w:pPr>
            <w:proofErr w:type="spellStart"/>
            <w:r w:rsidRPr="00FA0DB0">
              <w:rPr>
                <w:rStyle w:val="rvts15"/>
                <w:bCs/>
                <w:color w:val="000000" w:themeColor="text1"/>
                <w:bdr w:val="none" w:sz="0" w:space="0" w:color="auto" w:frame="1"/>
                <w:lang w:val="uk-UA"/>
              </w:rPr>
              <w:t>нерозкриття</w:t>
            </w:r>
            <w:proofErr w:type="spellEnd"/>
            <w:r w:rsidRPr="00FA0DB0">
              <w:rPr>
                <w:rStyle w:val="rvts15"/>
                <w:bCs/>
                <w:color w:val="000000" w:themeColor="text1"/>
                <w:bdr w:val="none" w:sz="0" w:space="0" w:color="auto" w:frame="1"/>
                <w:lang w:val="uk-UA"/>
              </w:rPr>
              <w:t xml:space="preserve"> емітентом цінних паперів, які знаходяться у біржовому реєстрі, інформації перед фондовою біржею, якщо надання такої інформації передбачено правилами фондової біржі та договором між фондовою біржею та емітентом.</w:t>
            </w:r>
          </w:p>
          <w:p w:rsidR="00FA0DB0" w:rsidRPr="00FA0DB0" w:rsidRDefault="00FA0DB0" w:rsidP="00FA0DB0">
            <w:pPr>
              <w:pStyle w:val="rvps7"/>
              <w:shd w:val="clear" w:color="auto" w:fill="FFFFFF"/>
              <w:spacing w:before="0" w:beforeAutospacing="0" w:after="0" w:afterAutospacing="0"/>
              <w:ind w:right="8" w:firstLine="181"/>
              <w:jc w:val="both"/>
              <w:textAlignment w:val="baseline"/>
              <w:rPr>
                <w:rStyle w:val="rvts15"/>
                <w:b/>
                <w:bCs/>
                <w:color w:val="000000" w:themeColor="text1"/>
                <w:bdr w:val="none" w:sz="0" w:space="0" w:color="auto" w:frame="1"/>
                <w:lang w:val="uk-UA"/>
              </w:rPr>
            </w:pPr>
            <w:r w:rsidRPr="00FA0DB0">
              <w:rPr>
                <w:b/>
                <w:lang w:val="uk-UA"/>
              </w:rPr>
              <w:t>Фондова біржа може прийняти рішення про припинення торгівлі цінним папером або іншим фінансовим інструментом за інших підстав, які визначаються правилами фондової біржі.</w:t>
            </w:r>
          </w:p>
        </w:tc>
      </w:tr>
      <w:tr w:rsidR="00854C0F" w:rsidRPr="00AA5EF2" w:rsidTr="00904961">
        <w:trPr>
          <w:jc w:val="center"/>
        </w:trPr>
        <w:tc>
          <w:tcPr>
            <w:tcW w:w="7431" w:type="dxa"/>
          </w:tcPr>
          <w:p w:rsidR="00804C52" w:rsidRPr="00804C52" w:rsidRDefault="00804C52" w:rsidP="00804C52">
            <w:pPr>
              <w:shd w:val="clear" w:color="auto" w:fill="FFFFFF"/>
              <w:ind w:firstLine="181"/>
              <w:jc w:val="both"/>
              <w:textAlignment w:val="baseline"/>
              <w:rPr>
                <w:rStyle w:val="rvts15"/>
                <w:bCs/>
                <w:color w:val="000000" w:themeColor="text1"/>
                <w:bdr w:val="none" w:sz="0" w:space="0" w:color="auto" w:frame="1"/>
              </w:rPr>
            </w:pPr>
            <w:r w:rsidRPr="00804C52">
              <w:rPr>
                <w:rStyle w:val="rvts15"/>
                <w:bCs/>
                <w:color w:val="000000" w:themeColor="text1"/>
                <w:bdr w:val="none" w:sz="0" w:space="0" w:color="auto" w:frame="1"/>
              </w:rPr>
              <w:t>13. Фондова біржа визначає показники, що характеризують ситуацію цінової нестабільності і значних коливань цін цінних паперів, та встановлює порядок їх розрахунку.</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 xml:space="preserve">13.1. Фондова біржа зобов'язана зупинити торги окремим </w:t>
            </w:r>
            <w:proofErr w:type="spellStart"/>
            <w:r w:rsidRPr="00804C52">
              <w:rPr>
                <w:rStyle w:val="rvts15"/>
                <w:bCs/>
                <w:strike/>
                <w:color w:val="000000" w:themeColor="text1"/>
                <w:bdr w:val="none" w:sz="0" w:space="0" w:color="auto" w:frame="1"/>
              </w:rPr>
              <w:t>лістинговим</w:t>
            </w:r>
            <w:proofErr w:type="spellEnd"/>
            <w:r w:rsidRPr="00804C52">
              <w:rPr>
                <w:rStyle w:val="rvts15"/>
                <w:bCs/>
                <w:strike/>
                <w:color w:val="000000" w:themeColor="text1"/>
                <w:bdr w:val="none" w:sz="0" w:space="0" w:color="auto" w:frame="1"/>
              </w:rPr>
              <w:t xml:space="preserve"> цінним папером у режимах торгів, які беруть участь у формуванні поточної ціни цінного папера, залежно від ступеня зміни </w:t>
            </w:r>
            <w:r w:rsidRPr="00804C52">
              <w:rPr>
                <w:rStyle w:val="rvts15"/>
                <w:bCs/>
                <w:strike/>
                <w:color w:val="000000" w:themeColor="text1"/>
                <w:bdr w:val="none" w:sz="0" w:space="0" w:color="auto" w:frame="1"/>
              </w:rPr>
              <w:lastRenderedPageBreak/>
              <w:t>поточної ціни від ціни закриття попереднього торговельного дня по цьому цінному паперу.</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У разі зміни поточної ціни цінного папера від ціни закриття попереднього торговельного дня не менше ніж на 20 % протягом 10 хвилин поспіль з моменту фіксації зазначеної зміни біржові торги цим цінним папером зупиняються на 1 годину. У разі якщо після поновлення торгів відбувається зміна поточної ціни цінного папера від ціни закриття попереднього торговельного дня не менше ніж на 30 % протягом 10 хвилин поспіль з моменту фіксації зазначеної зміни, біржові торги цим цінним папером зупиняються до закінчення торговельного дня.</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13.2. Фондова біржа у разі перевищення граничних значень зміни ціни цінного папера, передбачених підпунктом 13.1 цього пункту, повинна зупинити торгівлю таким цінним папером для виявлення причин, що призвели до ситуації цінової нестабільності та значного коливання ціни такого цінного папера.</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З метою виявлення причин цінової нестабільності та значного коливання ціни такого цінного папера фондова біржа здійснює перевірку.</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Граничні строки перевірки встановлюються правилами фондової біржі.</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13.3. Фондова біржа у разі зупинення торгівлі цінними паперами, зміна ціни яких перевищує граничні значення, передбачені підпунктом 13.1 цього пункту, та здійснення відповідної перевірки може зупинити торгівлю іншими цінними паперами такого емітента та цінними паперами інших емітентів аналогічної та споріднених галузей за погодженням з державним представником на фондовій біржі.</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13.4. Фондова біржа може визначати додаткові показники, які характеризують ситуацію цінової нестабільності і значних коливань цін цінних паперів, а також встановлювати додаткові підстави для зупинення біржових торгів.</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13.5. У випадку зупинення фондовою біржею торгів цінним папером Комісія може прийняти рішення про зупинення торгів цим цінним папером на інших фондових біржах.</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lastRenderedPageBreak/>
              <w:t>13.6. Біржа здійснює розрахунок поточних цін під час торговельної сесії не рідше ніж один раз на хвилину. Перший розрахунок поточної ціни (</w:t>
            </w:r>
            <w:proofErr w:type="spellStart"/>
            <w:r w:rsidRPr="00804C52">
              <w:rPr>
                <w:rStyle w:val="rvts15"/>
                <w:bCs/>
                <w:strike/>
                <w:color w:val="000000" w:themeColor="text1"/>
                <w:bdr w:val="none" w:sz="0" w:space="0" w:color="auto" w:frame="1"/>
              </w:rPr>
              <w:t>ціни</w:t>
            </w:r>
            <w:proofErr w:type="spellEnd"/>
            <w:r w:rsidRPr="00804C52">
              <w:rPr>
                <w:rStyle w:val="rvts15"/>
                <w:bCs/>
                <w:strike/>
                <w:color w:val="000000" w:themeColor="text1"/>
                <w:bdr w:val="none" w:sz="0" w:space="0" w:color="auto" w:frame="1"/>
              </w:rPr>
              <w:t xml:space="preserve"> відкриття) здійснюється через встановлений біржею в правилах проміжок часу від початку торговельної сесії. У разі зупинення торгів цінним папером розрахунок поточної ціни такого цінного папера не здійснюється протягом терміну зупинення біржових торгів за таким цінним папером.</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У разі відсутності протягом розрахункового періоду біржових контрактів (договорів), які враховуються при розрахунку поточної ціни цінного папера, поточна ціна цінного папера визначається з урахуванням безадресних заявок, на підставі яких можуть бути укладені такі угоди, таким чином:</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якщо краща ціна, вказана в безадресній заявці на купівлю цінного папера, вища за останнє розраховане значення поточної ціни відповідного цінного папера, то поточна ціна цінного папера вважається рівною кращій ціні, вказаній в безадресній заявці на купівлю відповідного цінного папера;</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якщо краща ціна, вказана в безадресній заявці на продаж цінного папера, нижча за останнє розраховане значення поточної ціни відповідного цінного папера, то поточна ціна цінного папера вважається рівною кращій ціні, вказаній в безадресній заявці на продаж відповідного цінного папера;</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в іншому випадку поточна ціна цінного папера вважається рівною останній розрахованій поточній ціні цього цінного папера.</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13.7. Фондова біржа у разі здійснення заходів, передбачених підпунктами 13.1 та 13.3 цього пункту, здійснює перевірку причин цінової нестабільності та значного коливання ціни цінного папера. У разі іншої причини ситуації цінової нестабільності та значного коливання ціни цінного папера, ніж ринкова зміна ціни попиту та пропозиції на зазначені цінні папери, фондова біржа інформує Комісію про результати такої перевірки із зазначенням:</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інформації про підстави зупинення торгів;</w:t>
            </w:r>
          </w:p>
          <w:p w:rsidR="00804C52" w:rsidRPr="00804C52" w:rsidRDefault="00804C52" w:rsidP="00804C52">
            <w:pPr>
              <w:shd w:val="clear" w:color="auto" w:fill="FFFFFF"/>
              <w:ind w:firstLine="181"/>
              <w:jc w:val="both"/>
              <w:textAlignment w:val="baseline"/>
              <w:rPr>
                <w:rStyle w:val="rvts15"/>
                <w:bCs/>
                <w:strike/>
                <w:color w:val="000000" w:themeColor="text1"/>
                <w:bdr w:val="none" w:sz="0" w:space="0" w:color="auto" w:frame="1"/>
              </w:rPr>
            </w:pPr>
            <w:r w:rsidRPr="00804C52">
              <w:rPr>
                <w:rStyle w:val="rvts15"/>
                <w:bCs/>
                <w:strike/>
                <w:color w:val="000000" w:themeColor="text1"/>
                <w:bdr w:val="none" w:sz="0" w:space="0" w:color="auto" w:frame="1"/>
              </w:rPr>
              <w:t>заходів, які здійснюються фондовою біржею у цій ситуації;</w:t>
            </w:r>
          </w:p>
          <w:p w:rsidR="00854C0F" w:rsidRPr="00804C52" w:rsidRDefault="00804C52" w:rsidP="00804C52">
            <w:pPr>
              <w:shd w:val="clear" w:color="auto" w:fill="FFFFFF"/>
              <w:ind w:firstLine="181"/>
              <w:jc w:val="both"/>
              <w:textAlignment w:val="baseline"/>
              <w:rPr>
                <w:rStyle w:val="rvts15"/>
                <w:bCs/>
                <w:color w:val="000000" w:themeColor="text1"/>
                <w:bdr w:val="none" w:sz="0" w:space="0" w:color="auto" w:frame="1"/>
              </w:rPr>
            </w:pPr>
            <w:r w:rsidRPr="00804C52">
              <w:rPr>
                <w:rStyle w:val="rvts15"/>
                <w:bCs/>
                <w:strike/>
                <w:color w:val="000000" w:themeColor="text1"/>
                <w:bdr w:val="none" w:sz="0" w:space="0" w:color="auto" w:frame="1"/>
              </w:rPr>
              <w:t>результатів перевірки причин цінової нестабільності та значного коливання ціни цінного папера.</w:t>
            </w:r>
          </w:p>
        </w:tc>
        <w:tc>
          <w:tcPr>
            <w:tcW w:w="7432" w:type="dxa"/>
          </w:tcPr>
          <w:p w:rsidR="00E201BD" w:rsidRPr="00804C52"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Cs/>
                <w:color w:val="000000" w:themeColor="text1"/>
                <w:lang w:val="uk-UA"/>
              </w:rPr>
            </w:pPr>
            <w:r w:rsidRPr="00804C52">
              <w:rPr>
                <w:rStyle w:val="rvts15"/>
                <w:bCs/>
                <w:color w:val="000000" w:themeColor="text1"/>
                <w:lang w:val="uk-UA"/>
              </w:rPr>
              <w:lastRenderedPageBreak/>
              <w:t>13. Фондова біржа визначає показники, що характеризують ситуацію цінової нестабільності, та встановлює порядок їх розрахунку.</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Фондова біржа визначає ліквідність цінного папера кожного торговельного дня, яка використовується для прийняття рішення щодо зупинення торгів наступного торговельного дня.</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lastRenderedPageBreak/>
              <w:t>Цінний папір може мати перший, другий або третій ступінь ліквідності.</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Фондова біржа визначає ліквідність цінного папера без урахування біржових контрактів (договорів), у яких центральний контрагент виступає як покупець цінних паперів.</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13.1. Комісія на основі адміністративних даних, що надають фондові біржі, окремим рішенням встановлює для всіх цінних паперів або залежно від виду цінного папера значення критеріїв (кількість укладених біржових контрактів (договорів), кількість торговельних днів, обсяг торгів та кількість осіб, в інтересах яких укладались біржові контракти (договори) за цим цінним папером), які застосовуються при визначенні кожного зі ступенів ліквідності.</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13.2. Фондова біржа у правилах фондової біржі може встановлювати додаткові вимоги для визначення ліквідності цінного папера.</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 xml:space="preserve">13.3. Фондова біржа зобов'язана зупинити торги цінним папером першого ступеня ліквідності та/або цінним папером, який використовується для розрахунку біржового фондового індексу, у режимах торгів, які беруть участь у формуванні поточної ціни цього цінного папера, залежно від ступеня зміни поточної ціни. У разі зміни значення поточної ціни цінного папера першого ступеня ліквідності та/або цінного папера, який використовується для розрахунку біржового фондового індексу, від ціни закриття попереднього торговельного дня не менше ніж у 1,2 </w:t>
            </w:r>
            <w:proofErr w:type="spellStart"/>
            <w:r w:rsidRPr="00E201BD">
              <w:rPr>
                <w:rStyle w:val="rvts15"/>
                <w:b/>
                <w:bCs/>
                <w:color w:val="000000" w:themeColor="text1"/>
                <w:lang w:val="uk-UA"/>
              </w:rPr>
              <w:t>раза</w:t>
            </w:r>
            <w:proofErr w:type="spellEnd"/>
            <w:r w:rsidRPr="00E201BD">
              <w:rPr>
                <w:rStyle w:val="rvts15"/>
                <w:b/>
                <w:bCs/>
                <w:color w:val="000000" w:themeColor="text1"/>
                <w:lang w:val="uk-UA"/>
              </w:rPr>
              <w:t xml:space="preserve"> у бік збільшення або зменшення протягом 10 хвилин поспіль з моменту фіксації зазначеної зміни біржові торги цим цінним папером зупиняються на 1 годину, але не більше ніж до закінчення торговельного дня. У разі якщо після поновлення торгів відбувається зміна поточної ціни цінного папера першого ступеня ліквідності та/або цінного папера, який використовується для розрахунку біржового фондового індексу, від останньої ціни закриття попереднього торговельного дня не менше ніж у 1,3 </w:t>
            </w:r>
            <w:proofErr w:type="spellStart"/>
            <w:r w:rsidRPr="00E201BD">
              <w:rPr>
                <w:rStyle w:val="rvts15"/>
                <w:b/>
                <w:bCs/>
                <w:color w:val="000000" w:themeColor="text1"/>
                <w:lang w:val="uk-UA"/>
              </w:rPr>
              <w:t>раза</w:t>
            </w:r>
            <w:proofErr w:type="spellEnd"/>
            <w:r w:rsidRPr="00E201BD">
              <w:rPr>
                <w:rStyle w:val="rvts15"/>
                <w:b/>
                <w:bCs/>
                <w:color w:val="000000" w:themeColor="text1"/>
                <w:lang w:val="uk-UA"/>
              </w:rPr>
              <w:t xml:space="preserve"> у бік збільшення або зменшення протягом 10 хвилин поспіль з моменту фіксації зазначеної зміни, біржові </w:t>
            </w:r>
            <w:r w:rsidRPr="00E201BD">
              <w:rPr>
                <w:rStyle w:val="rvts15"/>
                <w:b/>
                <w:bCs/>
                <w:color w:val="000000" w:themeColor="text1"/>
                <w:lang w:val="uk-UA"/>
              </w:rPr>
              <w:lastRenderedPageBreak/>
              <w:t>торги цим цінним папером зупиняються до закінчення торговельного дня.</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Фондова біржа може зупинити торги цінним папером другого або третього ступеня ліквідності у режимах торгів, які беруть участь у формуванні поточної ціни цінного папера, залежно від ступеня зміни поточної ціни, зокрема:</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 xml:space="preserve">у разі зміни значення поточної ціни цінного папера другого ступеня ліквідності від останньої ціни закриття торговельного дня не менше ніж у 1,4 </w:t>
            </w:r>
            <w:proofErr w:type="spellStart"/>
            <w:r w:rsidRPr="00E201BD">
              <w:rPr>
                <w:rStyle w:val="rvts15"/>
                <w:b/>
                <w:bCs/>
                <w:color w:val="000000" w:themeColor="text1"/>
                <w:lang w:val="uk-UA"/>
              </w:rPr>
              <w:t>раза</w:t>
            </w:r>
            <w:proofErr w:type="spellEnd"/>
            <w:r w:rsidRPr="00E201BD">
              <w:rPr>
                <w:rStyle w:val="rvts15"/>
                <w:b/>
                <w:bCs/>
                <w:color w:val="000000" w:themeColor="text1"/>
                <w:lang w:val="uk-UA"/>
              </w:rPr>
              <w:t xml:space="preserve"> у бік збільшення або зменшення протягом 10 хвилин поспіль з моменту фіксації зазначеної зміни біржові торги цим цінним папером можуть бути зупинені на 1 годину, але не більше ніж до закінчення торговельного дня. У разі якщо після поновлення торгів відбувається зміна поточної ціни цінного папера другого ступеня ліквідності від останньої ціни закриття попереднього торговельного дня не менше ніж у 1,5 </w:t>
            </w:r>
            <w:proofErr w:type="spellStart"/>
            <w:r w:rsidRPr="00E201BD">
              <w:rPr>
                <w:rStyle w:val="rvts15"/>
                <w:b/>
                <w:bCs/>
                <w:color w:val="000000" w:themeColor="text1"/>
                <w:lang w:val="uk-UA"/>
              </w:rPr>
              <w:t>раза</w:t>
            </w:r>
            <w:proofErr w:type="spellEnd"/>
            <w:r w:rsidRPr="00E201BD">
              <w:rPr>
                <w:rStyle w:val="rvts15"/>
                <w:b/>
                <w:bCs/>
                <w:color w:val="000000" w:themeColor="text1"/>
                <w:lang w:val="uk-UA"/>
              </w:rPr>
              <w:t xml:space="preserve"> у бік збільшення або зменшення протягом 10 хвилин поспіль з моменту фіксації зазначеної зміни, біржові торги цим цінним папером можуть бути зупинені до закінчення торговельного дня;</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 xml:space="preserve">у разі зміни значення поточної ціни цінного папера третього ступеня ліквідності від останньої ціни закриття торговельного дня не менше ніж у 1,7 </w:t>
            </w:r>
            <w:proofErr w:type="spellStart"/>
            <w:r w:rsidRPr="00E201BD">
              <w:rPr>
                <w:rStyle w:val="rvts15"/>
                <w:b/>
                <w:bCs/>
                <w:color w:val="000000" w:themeColor="text1"/>
                <w:lang w:val="uk-UA"/>
              </w:rPr>
              <w:t>раза</w:t>
            </w:r>
            <w:proofErr w:type="spellEnd"/>
            <w:r w:rsidRPr="00E201BD">
              <w:rPr>
                <w:rStyle w:val="rvts15"/>
                <w:b/>
                <w:bCs/>
                <w:color w:val="000000" w:themeColor="text1"/>
                <w:lang w:val="uk-UA"/>
              </w:rPr>
              <w:t xml:space="preserve"> у бік збільшення або зменшення протягом 10 хвилин поспіль з моменту фіксації зазначеної зміни біржові торги цим цінним папером можуть бути зупинені на 1 годину, але не більше ніж до закінчення торговельного дня. Якщо після поновлення торгів відбувається зміна поточної ціни цінного папера третього ступеня ліквідності від останньої ціни закриття попереднього торговельного дня не менше ніж у 2 рази у бік збільшення або зменшення протягом 10 хвилин поспіль з моменту фіксації зазначеної зміни, біржові торги цим цінним папером можуть бути зупинені до закінчення торговельного дня.</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 xml:space="preserve">13.4. Фондова біржа у разі перевищення граничних значень зміни ціни цінного папера, передбачених підпунктом 13.3 цього пункту, та зупинки торгівлі таким цінним папером здійснює перевірку для виявлення причин, що призвели до ситуації </w:t>
            </w:r>
            <w:r w:rsidRPr="00E201BD">
              <w:rPr>
                <w:rStyle w:val="rvts15"/>
                <w:b/>
                <w:bCs/>
                <w:color w:val="000000" w:themeColor="text1"/>
                <w:lang w:val="uk-UA"/>
              </w:rPr>
              <w:lastRenderedPageBreak/>
              <w:t>цінової нестабільності.</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Граничні строки перевірки встановлюються правилами фондової біржі.</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У разі виникнення ситуації цінової нестабільності фондова біржа може прийняти рішення не зупиняти торгівлю цінним папером за наявності інформації про фактичні обставини, які впливають на ціну цінного папера, призводячи до ситуації цінової нестабільності, такі як деномінація акцій, виплата купонного доходу, часткове погашення номінальної вартості тощо. Фондова біржа повідомляє Комісію про таке рішення із зазначенням підстав для його прийняття.</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13.5. Фондова біржа у разі зупинення торгівлі цінними паперами, зміна ціни яких перевищує граничні значення, передбачені підпунктом 13.3 цього пункту, та здійснення відповідної перевірки може зупинити торгівлю іншими цінними паперами такого емітента та цінними паперами інших емітентів аналогічної та споріднених галузей за погодженням з державним представником на фондовій біржі.</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13.6. Фондова біржа може встановлювати додаткові підстави для зупинення біржових торгів.</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13.7. У випадку зупинення фондовою біржею торгів цінним папером Комісія може прийняти рішення про зупинення торгів цим цінним папером на інших фондових біржах.</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13.8. Біржа здійснює розрахунок поточних цін під час торговельної сесії не рідше ніж один раз на хвилину. Перший розрахунок поточної ціни (</w:t>
            </w:r>
            <w:proofErr w:type="spellStart"/>
            <w:r w:rsidRPr="00E201BD">
              <w:rPr>
                <w:rStyle w:val="rvts15"/>
                <w:b/>
                <w:bCs/>
                <w:color w:val="000000" w:themeColor="text1"/>
                <w:lang w:val="uk-UA"/>
              </w:rPr>
              <w:t>ціни</w:t>
            </w:r>
            <w:proofErr w:type="spellEnd"/>
            <w:r w:rsidRPr="00E201BD">
              <w:rPr>
                <w:rStyle w:val="rvts15"/>
                <w:b/>
                <w:bCs/>
                <w:color w:val="000000" w:themeColor="text1"/>
                <w:lang w:val="uk-UA"/>
              </w:rPr>
              <w:t xml:space="preserve"> відкриття) здійснюється через встановлений біржею в правилах проміжок часу від початку торговельної сесії. У разі зупинення торгів цінним папером розрахунок поточної ціни такого цінного папера не здійснюється протягом строку зупинення біржових торгів за таким цінним папером.</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 xml:space="preserve">У разі відсутності протягом розрахункового періоду біржових контрактів (договорів), які враховуються при розрахунку поточної ціни цінного папера, поточна ціна цінного папера визначається з урахуванням безадресних заявок, на підставі яких </w:t>
            </w:r>
            <w:r w:rsidRPr="00E201BD">
              <w:rPr>
                <w:rStyle w:val="rvts15"/>
                <w:b/>
                <w:bCs/>
                <w:color w:val="000000" w:themeColor="text1"/>
                <w:lang w:val="uk-UA"/>
              </w:rPr>
              <w:lastRenderedPageBreak/>
              <w:t>можуть бути укладені такі біржові контракти (договори), таким чином:</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якщо краща ціна, вказана в безадресній заявці на купівлю цінного папера, вища за останнє розраховане на підставі біржових контрактів (договорів) значення поточної ціни відповідного цінного папера, то поточна ціна цінного папера вважається рівною кращій ціні, вказаній в безадресній заявці на купівлю відповідного цінного папера;</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в іншому випадку, якщо краща ціна, вказана в безадресній заявці на продаж цінного папера, нижча за останнє розраховане на підставі біржових контрактів (договорів) значення поточної ціни відповідного цінного папера, то поточна ціна цінного папера вважається рівною кращій ціні, вказаній у безадресній заявці на продаж відповідного цінного папера;</w:t>
            </w:r>
          </w:p>
          <w:p w:rsidR="00E201BD" w:rsidRPr="00E201BD"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в інших випадках поточна ціна цінного папера вважається рівною останній розрахованій на підставі біржових контрактів (договорів) поточній ціні цього цінного папера.</w:t>
            </w:r>
          </w:p>
          <w:p w:rsidR="00854C0F" w:rsidRPr="00AA5EF2" w:rsidRDefault="00E201BD" w:rsidP="00E201BD">
            <w:pPr>
              <w:pStyle w:val="rvps7"/>
              <w:shd w:val="clear" w:color="auto" w:fill="FFFFFF"/>
              <w:tabs>
                <w:tab w:val="left" w:pos="7208"/>
              </w:tabs>
              <w:spacing w:before="0" w:beforeAutospacing="0" w:after="0" w:afterAutospacing="0"/>
              <w:ind w:firstLine="181"/>
              <w:jc w:val="both"/>
              <w:textAlignment w:val="baseline"/>
              <w:rPr>
                <w:rStyle w:val="rvts15"/>
                <w:b/>
                <w:bCs/>
                <w:color w:val="000000" w:themeColor="text1"/>
                <w:lang w:val="uk-UA"/>
              </w:rPr>
            </w:pPr>
            <w:r w:rsidRPr="00E201BD">
              <w:rPr>
                <w:rStyle w:val="rvts15"/>
                <w:b/>
                <w:bCs/>
                <w:color w:val="000000" w:themeColor="text1"/>
                <w:lang w:val="uk-UA"/>
              </w:rPr>
              <w:t>13.9. Фондова біржа у разі здійснення заходів, передбачених підпунктами 13.3 та 13.5 цього пункту, здійснює перевірку причин цінової нестабільності, зокрема щодо наявності ознак маніпулювання, та інформує Комісію про результати перевірки причин цінової нестабільності.</w:t>
            </w:r>
          </w:p>
        </w:tc>
      </w:tr>
      <w:tr w:rsidR="00FA0DB0" w:rsidRPr="00AA5EF2" w:rsidTr="00904961">
        <w:trPr>
          <w:jc w:val="center"/>
        </w:trPr>
        <w:tc>
          <w:tcPr>
            <w:tcW w:w="7431" w:type="dxa"/>
          </w:tcPr>
          <w:p w:rsidR="00FA0DB0" w:rsidRPr="00E96278" w:rsidRDefault="00E96278" w:rsidP="00E96278">
            <w:pPr>
              <w:shd w:val="clear" w:color="auto" w:fill="FFFFFF"/>
              <w:ind w:firstLine="181"/>
              <w:jc w:val="both"/>
              <w:textAlignment w:val="baseline"/>
              <w:rPr>
                <w:rStyle w:val="rvts15"/>
                <w:bCs/>
                <w:color w:val="000000" w:themeColor="text1"/>
                <w:bdr w:val="none" w:sz="0" w:space="0" w:color="auto" w:frame="1"/>
              </w:rPr>
            </w:pPr>
            <w:r w:rsidRPr="00E96278">
              <w:rPr>
                <w:rStyle w:val="rvts15"/>
                <w:bCs/>
                <w:color w:val="000000" w:themeColor="text1"/>
                <w:bdr w:val="none" w:sz="0" w:space="0" w:color="auto" w:frame="1"/>
              </w:rPr>
              <w:lastRenderedPageBreak/>
              <w:t xml:space="preserve">21. Для укладення на біржі біржових контрактів (договорів) щодо цінних паперів, випуск яких здійснено в документарній формі, цінні папери мають бути </w:t>
            </w:r>
            <w:proofErr w:type="spellStart"/>
            <w:r w:rsidRPr="00E96278">
              <w:rPr>
                <w:rStyle w:val="rvts15"/>
                <w:bCs/>
                <w:color w:val="000000" w:themeColor="text1"/>
                <w:bdr w:val="none" w:sz="0" w:space="0" w:color="auto" w:frame="1"/>
              </w:rPr>
              <w:t>знерухомлені</w:t>
            </w:r>
            <w:proofErr w:type="spellEnd"/>
            <w:r w:rsidRPr="00E96278">
              <w:rPr>
                <w:rStyle w:val="rvts15"/>
                <w:bCs/>
                <w:color w:val="000000" w:themeColor="text1"/>
                <w:bdr w:val="none" w:sz="0" w:space="0" w:color="auto" w:frame="1"/>
              </w:rPr>
              <w:t xml:space="preserve"> в депозитарії, крім випадків, передбачених законодавством.</w:t>
            </w:r>
          </w:p>
        </w:tc>
        <w:tc>
          <w:tcPr>
            <w:tcW w:w="7432" w:type="dxa"/>
          </w:tcPr>
          <w:p w:rsidR="00FA0DB0" w:rsidRPr="00E96278" w:rsidRDefault="00E96278" w:rsidP="00E96278">
            <w:pPr>
              <w:pStyle w:val="rvps7"/>
              <w:shd w:val="clear" w:color="auto" w:fill="FFFFFF"/>
              <w:spacing w:before="0" w:beforeAutospacing="0" w:after="0" w:afterAutospacing="0"/>
              <w:ind w:right="8" w:firstLine="181"/>
              <w:jc w:val="both"/>
              <w:textAlignment w:val="baseline"/>
              <w:rPr>
                <w:rStyle w:val="rvts15"/>
                <w:bCs/>
                <w:color w:val="000000" w:themeColor="text1"/>
                <w:lang w:val="uk-UA"/>
              </w:rPr>
            </w:pPr>
            <w:r w:rsidRPr="00E96278">
              <w:rPr>
                <w:rStyle w:val="rvts15"/>
                <w:bCs/>
                <w:color w:val="000000" w:themeColor="text1"/>
                <w:lang w:val="uk-UA"/>
              </w:rPr>
              <w:t xml:space="preserve">21. Для укладення на біржі біржових контрактів (договорів) щодо цінних паперів на пред'явника, випуск яких здійснено в документарній формі, цінні папери мають бути </w:t>
            </w:r>
            <w:proofErr w:type="spellStart"/>
            <w:r w:rsidRPr="00E96278">
              <w:rPr>
                <w:rStyle w:val="rvts15"/>
                <w:bCs/>
                <w:color w:val="000000" w:themeColor="text1"/>
                <w:lang w:val="uk-UA"/>
              </w:rPr>
              <w:t>знерухомлені</w:t>
            </w:r>
            <w:proofErr w:type="spellEnd"/>
            <w:r w:rsidRPr="00E96278">
              <w:rPr>
                <w:rStyle w:val="rvts15"/>
                <w:bCs/>
                <w:color w:val="000000" w:themeColor="text1"/>
                <w:lang w:val="uk-UA"/>
              </w:rPr>
              <w:t xml:space="preserve"> в </w:t>
            </w:r>
            <w:r w:rsidRPr="00E96278">
              <w:rPr>
                <w:rStyle w:val="rvts15"/>
                <w:b/>
                <w:bCs/>
                <w:color w:val="000000" w:themeColor="text1"/>
                <w:lang w:val="uk-UA"/>
              </w:rPr>
              <w:t>Центральному</w:t>
            </w:r>
            <w:r w:rsidRPr="00E96278">
              <w:rPr>
                <w:rStyle w:val="rvts15"/>
                <w:bCs/>
                <w:color w:val="000000" w:themeColor="text1"/>
                <w:lang w:val="uk-UA"/>
              </w:rPr>
              <w:t xml:space="preserve"> депозитарії цінних паперів </w:t>
            </w:r>
            <w:r w:rsidRPr="00E96278">
              <w:rPr>
                <w:rStyle w:val="rvts15"/>
                <w:b/>
                <w:bCs/>
                <w:color w:val="000000" w:themeColor="text1"/>
                <w:lang w:val="uk-UA"/>
              </w:rPr>
              <w:t>або Національному банку України відповідно до компетенції, встановленої Законом України "Про депозитарну систему України",</w:t>
            </w:r>
            <w:r w:rsidRPr="00E96278">
              <w:rPr>
                <w:rStyle w:val="rvts15"/>
                <w:bCs/>
                <w:color w:val="000000" w:themeColor="text1"/>
                <w:lang w:val="uk-UA"/>
              </w:rPr>
              <w:t xml:space="preserve"> крім випадків, передбачених законодавством.</w:t>
            </w:r>
          </w:p>
        </w:tc>
      </w:tr>
      <w:tr w:rsidR="00FA0DB0" w:rsidRPr="00AA5EF2" w:rsidTr="00904961">
        <w:trPr>
          <w:jc w:val="center"/>
        </w:trPr>
        <w:tc>
          <w:tcPr>
            <w:tcW w:w="7431" w:type="dxa"/>
          </w:tcPr>
          <w:p w:rsidR="00FA0DB0" w:rsidRPr="00AE1AB7" w:rsidRDefault="00AE1AB7" w:rsidP="00AE1AB7">
            <w:pPr>
              <w:shd w:val="clear" w:color="auto" w:fill="FFFFFF"/>
              <w:ind w:firstLine="181"/>
              <w:jc w:val="both"/>
              <w:textAlignment w:val="baseline"/>
              <w:rPr>
                <w:rStyle w:val="rvts15"/>
                <w:bCs/>
                <w:color w:val="000000" w:themeColor="text1"/>
                <w:bdr w:val="none" w:sz="0" w:space="0" w:color="auto" w:frame="1"/>
              </w:rPr>
            </w:pPr>
            <w:r w:rsidRPr="00AE1AB7">
              <w:rPr>
                <w:rStyle w:val="rvts15"/>
                <w:bCs/>
                <w:color w:val="000000" w:themeColor="text1"/>
                <w:bdr w:val="none" w:sz="0" w:space="0" w:color="auto" w:frame="1"/>
              </w:rPr>
              <w:t xml:space="preserve">IV. Лістинг та </w:t>
            </w:r>
            <w:proofErr w:type="spellStart"/>
            <w:r w:rsidRPr="00AE1AB7">
              <w:rPr>
                <w:rStyle w:val="rvts15"/>
                <w:bCs/>
                <w:color w:val="000000" w:themeColor="text1"/>
                <w:bdr w:val="none" w:sz="0" w:space="0" w:color="auto" w:frame="1"/>
              </w:rPr>
              <w:t>делістинг</w:t>
            </w:r>
            <w:proofErr w:type="spellEnd"/>
            <w:r w:rsidRPr="00AE1AB7">
              <w:rPr>
                <w:rStyle w:val="rvts15"/>
                <w:bCs/>
                <w:color w:val="000000" w:themeColor="text1"/>
                <w:bdr w:val="none" w:sz="0" w:space="0" w:color="auto" w:frame="1"/>
              </w:rPr>
              <w:t xml:space="preserve"> цінних паперів на фондовій біржі</w:t>
            </w:r>
          </w:p>
          <w:p w:rsidR="00AE1AB7" w:rsidRPr="00AE1AB7" w:rsidRDefault="00AE1AB7" w:rsidP="00AE1AB7">
            <w:pPr>
              <w:shd w:val="clear" w:color="auto" w:fill="FFFFFF"/>
              <w:ind w:firstLine="181"/>
              <w:jc w:val="both"/>
              <w:textAlignment w:val="baseline"/>
              <w:rPr>
                <w:rStyle w:val="rvts15"/>
                <w:bCs/>
                <w:color w:val="000000" w:themeColor="text1"/>
                <w:bdr w:val="none" w:sz="0" w:space="0" w:color="auto" w:frame="1"/>
              </w:rPr>
            </w:pPr>
            <w:r w:rsidRPr="00AE1AB7">
              <w:rPr>
                <w:rStyle w:val="rvts15"/>
                <w:bCs/>
                <w:color w:val="000000" w:themeColor="text1"/>
                <w:bdr w:val="none" w:sz="0" w:space="0" w:color="auto" w:frame="1"/>
              </w:rPr>
              <w:t>4. Унесення та перебування цінних паперів у другому рівні лістингу фондової біржі здійснюються при дотриманні умови, визначеної пунктом 2 цього розділу, а також відповідності таким мінімальним вимогам:</w:t>
            </w:r>
          </w:p>
          <w:p w:rsidR="00AE1AB7" w:rsidRPr="00AE1AB7" w:rsidRDefault="00AE1AB7" w:rsidP="00AE1AB7">
            <w:pPr>
              <w:shd w:val="clear" w:color="auto" w:fill="FFFFFF"/>
              <w:ind w:firstLine="181"/>
              <w:jc w:val="both"/>
              <w:textAlignment w:val="baseline"/>
              <w:rPr>
                <w:rStyle w:val="rvts15"/>
                <w:bCs/>
                <w:color w:val="000000" w:themeColor="text1"/>
                <w:bdr w:val="none" w:sz="0" w:space="0" w:color="auto" w:frame="1"/>
              </w:rPr>
            </w:pPr>
          </w:p>
          <w:p w:rsidR="00AE1AB7" w:rsidRDefault="00AE1AB7" w:rsidP="00AE1AB7">
            <w:pPr>
              <w:shd w:val="clear" w:color="auto" w:fill="FFFFFF"/>
              <w:ind w:firstLine="181"/>
              <w:jc w:val="both"/>
              <w:textAlignment w:val="baseline"/>
              <w:rPr>
                <w:rStyle w:val="rvts15"/>
                <w:bCs/>
                <w:color w:val="000000" w:themeColor="text1"/>
                <w:bdr w:val="none" w:sz="0" w:space="0" w:color="auto" w:frame="1"/>
              </w:rPr>
            </w:pPr>
            <w:r w:rsidRPr="00AE1AB7">
              <w:rPr>
                <w:rStyle w:val="rvts15"/>
                <w:bCs/>
                <w:color w:val="000000" w:themeColor="text1"/>
                <w:bdr w:val="none" w:sz="0" w:space="0" w:color="auto" w:frame="1"/>
              </w:rPr>
              <w:lastRenderedPageBreak/>
              <w:t>4.1. Для акцій:</w:t>
            </w:r>
          </w:p>
          <w:p w:rsidR="00AE1AB7" w:rsidRDefault="00AE1AB7" w:rsidP="00AE1AB7">
            <w:pPr>
              <w:shd w:val="clear" w:color="auto" w:fill="FFFFFF"/>
              <w:ind w:firstLine="181"/>
              <w:jc w:val="both"/>
              <w:textAlignment w:val="baseline"/>
              <w:rPr>
                <w:rStyle w:val="rvts15"/>
                <w:bCs/>
                <w:color w:val="000000" w:themeColor="text1"/>
                <w:bdr w:val="none" w:sz="0" w:space="0" w:color="auto" w:frame="1"/>
              </w:rPr>
            </w:pPr>
            <w:r>
              <w:rPr>
                <w:rStyle w:val="rvts15"/>
                <w:bCs/>
                <w:color w:val="000000" w:themeColor="text1"/>
                <w:bdr w:val="none" w:sz="0" w:space="0" w:color="auto" w:frame="1"/>
              </w:rPr>
              <w:t>…</w:t>
            </w:r>
          </w:p>
          <w:p w:rsidR="00AE1AB7" w:rsidRPr="00AE1AB7" w:rsidRDefault="00AE1AB7" w:rsidP="00AE1AB7">
            <w:pPr>
              <w:shd w:val="clear" w:color="auto" w:fill="FFFFFF"/>
              <w:ind w:firstLine="181"/>
              <w:jc w:val="both"/>
              <w:textAlignment w:val="baseline"/>
              <w:rPr>
                <w:rStyle w:val="rvts15"/>
                <w:bCs/>
                <w:color w:val="000000" w:themeColor="text1"/>
                <w:bdr w:val="none" w:sz="0" w:space="0" w:color="auto" w:frame="1"/>
              </w:rPr>
            </w:pPr>
            <w:r w:rsidRPr="00AE1AB7">
              <w:rPr>
                <w:rStyle w:val="rvts15"/>
                <w:bCs/>
                <w:color w:val="000000" w:themeColor="text1"/>
                <w:bdr w:val="none" w:sz="0" w:space="0" w:color="auto" w:frame="1"/>
              </w:rPr>
              <w:t>біржовий курс цінного папера розраховується не рідше одного разу на місяць.</w:t>
            </w:r>
          </w:p>
        </w:tc>
        <w:tc>
          <w:tcPr>
            <w:tcW w:w="7432" w:type="dxa"/>
          </w:tcPr>
          <w:p w:rsidR="00AE1AB7" w:rsidRPr="00AE1AB7" w:rsidRDefault="00AE1AB7" w:rsidP="00AE1AB7">
            <w:pPr>
              <w:shd w:val="clear" w:color="auto" w:fill="FFFFFF"/>
              <w:ind w:firstLine="181"/>
              <w:jc w:val="both"/>
              <w:textAlignment w:val="baseline"/>
              <w:rPr>
                <w:rStyle w:val="rvts15"/>
                <w:bCs/>
                <w:color w:val="000000" w:themeColor="text1"/>
                <w:bdr w:val="none" w:sz="0" w:space="0" w:color="auto" w:frame="1"/>
              </w:rPr>
            </w:pPr>
            <w:r w:rsidRPr="00AE1AB7">
              <w:rPr>
                <w:rStyle w:val="rvts15"/>
                <w:bCs/>
                <w:color w:val="000000" w:themeColor="text1"/>
                <w:bdr w:val="none" w:sz="0" w:space="0" w:color="auto" w:frame="1"/>
              </w:rPr>
              <w:lastRenderedPageBreak/>
              <w:t xml:space="preserve">IV. Лістинг та </w:t>
            </w:r>
            <w:proofErr w:type="spellStart"/>
            <w:r w:rsidRPr="00AE1AB7">
              <w:rPr>
                <w:rStyle w:val="rvts15"/>
                <w:bCs/>
                <w:color w:val="000000" w:themeColor="text1"/>
                <w:bdr w:val="none" w:sz="0" w:space="0" w:color="auto" w:frame="1"/>
              </w:rPr>
              <w:t>делістинг</w:t>
            </w:r>
            <w:proofErr w:type="spellEnd"/>
            <w:r w:rsidRPr="00AE1AB7">
              <w:rPr>
                <w:rStyle w:val="rvts15"/>
                <w:bCs/>
                <w:color w:val="000000" w:themeColor="text1"/>
                <w:bdr w:val="none" w:sz="0" w:space="0" w:color="auto" w:frame="1"/>
              </w:rPr>
              <w:t xml:space="preserve"> цінних паперів на фондовій біржі</w:t>
            </w:r>
          </w:p>
          <w:p w:rsidR="00AE1AB7" w:rsidRPr="00AE1AB7" w:rsidRDefault="00AE1AB7" w:rsidP="00AE1AB7">
            <w:pPr>
              <w:shd w:val="clear" w:color="auto" w:fill="FFFFFF"/>
              <w:ind w:firstLine="181"/>
              <w:jc w:val="both"/>
              <w:textAlignment w:val="baseline"/>
              <w:rPr>
                <w:rStyle w:val="rvts15"/>
                <w:bCs/>
                <w:color w:val="000000" w:themeColor="text1"/>
                <w:bdr w:val="none" w:sz="0" w:space="0" w:color="auto" w:frame="1"/>
              </w:rPr>
            </w:pPr>
            <w:r w:rsidRPr="00AE1AB7">
              <w:rPr>
                <w:rStyle w:val="rvts15"/>
                <w:bCs/>
                <w:color w:val="000000" w:themeColor="text1"/>
                <w:bdr w:val="none" w:sz="0" w:space="0" w:color="auto" w:frame="1"/>
              </w:rPr>
              <w:t>4. Унесення та перебування цінних паперів у другому рівні лістингу фондової біржі здійснюються при дотриманні умови, визначеної пунктом 2 цього розділу, а також відповідності таким мінімальним вимогам:</w:t>
            </w:r>
          </w:p>
          <w:p w:rsidR="00AE1AB7" w:rsidRPr="00AE1AB7" w:rsidRDefault="00AE1AB7" w:rsidP="00AE1AB7">
            <w:pPr>
              <w:shd w:val="clear" w:color="auto" w:fill="FFFFFF"/>
              <w:ind w:firstLine="181"/>
              <w:jc w:val="both"/>
              <w:textAlignment w:val="baseline"/>
              <w:rPr>
                <w:rStyle w:val="rvts15"/>
                <w:bCs/>
                <w:color w:val="000000" w:themeColor="text1"/>
                <w:bdr w:val="none" w:sz="0" w:space="0" w:color="auto" w:frame="1"/>
              </w:rPr>
            </w:pPr>
          </w:p>
          <w:p w:rsidR="00AE1AB7" w:rsidRDefault="00AE1AB7" w:rsidP="00AE1AB7">
            <w:pPr>
              <w:shd w:val="clear" w:color="auto" w:fill="FFFFFF"/>
              <w:ind w:firstLine="181"/>
              <w:jc w:val="both"/>
              <w:textAlignment w:val="baseline"/>
              <w:rPr>
                <w:rStyle w:val="rvts15"/>
                <w:bCs/>
                <w:color w:val="000000" w:themeColor="text1"/>
                <w:bdr w:val="none" w:sz="0" w:space="0" w:color="auto" w:frame="1"/>
              </w:rPr>
            </w:pPr>
            <w:r w:rsidRPr="00AE1AB7">
              <w:rPr>
                <w:rStyle w:val="rvts15"/>
                <w:bCs/>
                <w:color w:val="000000" w:themeColor="text1"/>
                <w:bdr w:val="none" w:sz="0" w:space="0" w:color="auto" w:frame="1"/>
              </w:rPr>
              <w:lastRenderedPageBreak/>
              <w:t>4.1. Для акцій:</w:t>
            </w:r>
          </w:p>
          <w:p w:rsidR="00AE1AB7" w:rsidRDefault="00AE1AB7" w:rsidP="00AE1AB7">
            <w:pPr>
              <w:shd w:val="clear" w:color="auto" w:fill="FFFFFF"/>
              <w:ind w:firstLine="181"/>
              <w:jc w:val="both"/>
              <w:textAlignment w:val="baseline"/>
              <w:rPr>
                <w:rStyle w:val="rvts15"/>
                <w:bCs/>
                <w:color w:val="000000" w:themeColor="text1"/>
                <w:bdr w:val="none" w:sz="0" w:space="0" w:color="auto" w:frame="1"/>
              </w:rPr>
            </w:pPr>
            <w:r>
              <w:rPr>
                <w:rStyle w:val="rvts15"/>
                <w:bCs/>
                <w:color w:val="000000" w:themeColor="text1"/>
                <w:bdr w:val="none" w:sz="0" w:space="0" w:color="auto" w:frame="1"/>
              </w:rPr>
              <w:t>…</w:t>
            </w:r>
          </w:p>
          <w:p w:rsidR="00FA0DB0" w:rsidRDefault="00AE1AB7" w:rsidP="00AE1AB7">
            <w:pPr>
              <w:pStyle w:val="rvps7"/>
              <w:shd w:val="clear" w:color="auto" w:fill="FFFFFF"/>
              <w:spacing w:before="0" w:beforeAutospacing="0" w:after="0" w:afterAutospacing="0"/>
              <w:ind w:firstLine="261"/>
              <w:jc w:val="both"/>
              <w:textAlignment w:val="baseline"/>
              <w:rPr>
                <w:rStyle w:val="rvts15"/>
                <w:b/>
                <w:bCs/>
                <w:color w:val="000000" w:themeColor="text1"/>
                <w:lang w:val="uk-UA"/>
              </w:rPr>
            </w:pPr>
            <w:proofErr w:type="spellStart"/>
            <w:r w:rsidRPr="00AE1AB7">
              <w:rPr>
                <w:rStyle w:val="rvts15"/>
                <w:bCs/>
                <w:color w:val="000000" w:themeColor="text1"/>
                <w:bdr w:val="none" w:sz="0" w:space="0" w:color="auto" w:frame="1"/>
              </w:rPr>
              <w:t>біржовий</w:t>
            </w:r>
            <w:proofErr w:type="spellEnd"/>
            <w:r w:rsidRPr="00AE1AB7">
              <w:rPr>
                <w:rStyle w:val="rvts15"/>
                <w:bCs/>
                <w:color w:val="000000" w:themeColor="text1"/>
                <w:bdr w:val="none" w:sz="0" w:space="0" w:color="auto" w:frame="1"/>
              </w:rPr>
              <w:t xml:space="preserve"> курс </w:t>
            </w:r>
            <w:proofErr w:type="spellStart"/>
            <w:r w:rsidRPr="00AE1AB7">
              <w:rPr>
                <w:rStyle w:val="rvts15"/>
                <w:bCs/>
                <w:color w:val="000000" w:themeColor="text1"/>
                <w:bdr w:val="none" w:sz="0" w:space="0" w:color="auto" w:frame="1"/>
              </w:rPr>
              <w:t>цінного</w:t>
            </w:r>
            <w:proofErr w:type="spellEnd"/>
            <w:r w:rsidRPr="00AE1AB7">
              <w:rPr>
                <w:rStyle w:val="rvts15"/>
                <w:bCs/>
                <w:color w:val="000000" w:themeColor="text1"/>
                <w:bdr w:val="none" w:sz="0" w:space="0" w:color="auto" w:frame="1"/>
              </w:rPr>
              <w:t xml:space="preserve"> </w:t>
            </w:r>
            <w:proofErr w:type="spellStart"/>
            <w:r w:rsidRPr="00AE1AB7">
              <w:rPr>
                <w:rStyle w:val="rvts15"/>
                <w:bCs/>
                <w:color w:val="000000" w:themeColor="text1"/>
                <w:bdr w:val="none" w:sz="0" w:space="0" w:color="auto" w:frame="1"/>
              </w:rPr>
              <w:t>папера</w:t>
            </w:r>
            <w:proofErr w:type="spellEnd"/>
            <w:r w:rsidRPr="00AE1AB7">
              <w:rPr>
                <w:rStyle w:val="rvts15"/>
                <w:bCs/>
                <w:color w:val="000000" w:themeColor="text1"/>
                <w:bdr w:val="none" w:sz="0" w:space="0" w:color="auto" w:frame="1"/>
              </w:rPr>
              <w:t xml:space="preserve"> </w:t>
            </w:r>
            <w:proofErr w:type="spellStart"/>
            <w:r w:rsidRPr="00AE1AB7">
              <w:rPr>
                <w:rStyle w:val="rvts15"/>
                <w:bCs/>
                <w:color w:val="000000" w:themeColor="text1"/>
                <w:bdr w:val="none" w:sz="0" w:space="0" w:color="auto" w:frame="1"/>
              </w:rPr>
              <w:t>розраховується</w:t>
            </w:r>
            <w:proofErr w:type="spellEnd"/>
            <w:r w:rsidRPr="00AE1AB7">
              <w:rPr>
                <w:rStyle w:val="rvts15"/>
                <w:bCs/>
                <w:color w:val="000000" w:themeColor="text1"/>
                <w:bdr w:val="none" w:sz="0" w:space="0" w:color="auto" w:frame="1"/>
              </w:rPr>
              <w:t xml:space="preserve"> не </w:t>
            </w:r>
            <w:proofErr w:type="spellStart"/>
            <w:proofErr w:type="gramStart"/>
            <w:r w:rsidRPr="00AE1AB7">
              <w:rPr>
                <w:rStyle w:val="rvts15"/>
                <w:bCs/>
                <w:color w:val="000000" w:themeColor="text1"/>
                <w:bdr w:val="none" w:sz="0" w:space="0" w:color="auto" w:frame="1"/>
              </w:rPr>
              <w:t>р</w:t>
            </w:r>
            <w:proofErr w:type="gramEnd"/>
            <w:r w:rsidRPr="00AE1AB7">
              <w:rPr>
                <w:rStyle w:val="rvts15"/>
                <w:bCs/>
                <w:color w:val="000000" w:themeColor="text1"/>
                <w:bdr w:val="none" w:sz="0" w:space="0" w:color="auto" w:frame="1"/>
              </w:rPr>
              <w:t>ідше</w:t>
            </w:r>
            <w:proofErr w:type="spellEnd"/>
            <w:r w:rsidRPr="00AE1AB7">
              <w:rPr>
                <w:rStyle w:val="rvts15"/>
                <w:bCs/>
                <w:color w:val="000000" w:themeColor="text1"/>
                <w:bdr w:val="none" w:sz="0" w:space="0" w:color="auto" w:frame="1"/>
              </w:rPr>
              <w:t xml:space="preserve"> одного разу на </w:t>
            </w:r>
            <w:proofErr w:type="spellStart"/>
            <w:r w:rsidRPr="00AE1AB7">
              <w:rPr>
                <w:rStyle w:val="rvts15"/>
                <w:bCs/>
                <w:color w:val="000000" w:themeColor="text1"/>
                <w:bdr w:val="none" w:sz="0" w:space="0" w:color="auto" w:frame="1"/>
              </w:rPr>
              <w:t>місяць</w:t>
            </w:r>
            <w:proofErr w:type="spellEnd"/>
            <w:r w:rsidRPr="00AE1AB7">
              <w:rPr>
                <w:rStyle w:val="rvts15"/>
                <w:bCs/>
                <w:color w:val="000000" w:themeColor="text1"/>
                <w:bdr w:val="none" w:sz="0" w:space="0" w:color="auto" w:frame="1"/>
              </w:rPr>
              <w:t>.</w:t>
            </w:r>
          </w:p>
          <w:p w:rsidR="00AE1AB7" w:rsidRPr="00AE1AB7" w:rsidRDefault="00AE1AB7" w:rsidP="00AE1AB7">
            <w:pPr>
              <w:ind w:firstLine="261"/>
              <w:jc w:val="both"/>
              <w:rPr>
                <w:rFonts w:eastAsia="Times New Roman"/>
                <w:b/>
                <w:lang w:eastAsia="uk-UA"/>
              </w:rPr>
            </w:pPr>
            <w:r w:rsidRPr="00AE1AB7">
              <w:rPr>
                <w:rFonts w:eastAsia="Times New Roman"/>
                <w:b/>
                <w:lang w:eastAsia="uk-UA"/>
              </w:rPr>
              <w:t xml:space="preserve">Якщо протягом календарного року вартість чистих активів емітента, акції якого включені до другого рівня лістингу та відповідають іншим мінімальним вимогам, зазначеним у цьому підпункті, стає меншою за 50000000 </w:t>
            </w:r>
            <w:proofErr w:type="spellStart"/>
            <w:r w:rsidRPr="00AE1AB7">
              <w:rPr>
                <w:rFonts w:eastAsia="Times New Roman"/>
                <w:b/>
                <w:lang w:eastAsia="uk-UA"/>
              </w:rPr>
              <w:t>грн</w:t>
            </w:r>
            <w:proofErr w:type="spellEnd"/>
            <w:r w:rsidRPr="00AE1AB7">
              <w:rPr>
                <w:rFonts w:eastAsia="Times New Roman"/>
                <w:b/>
                <w:lang w:eastAsia="uk-UA"/>
              </w:rPr>
              <w:t>, то вилучення з лістингу акцій цього емітента відбувається після закінчення календарного року. Підставою для такого виключення є річний звіт емітента.</w:t>
            </w:r>
          </w:p>
          <w:p w:rsidR="00AE1AB7" w:rsidRPr="00AA5EF2" w:rsidRDefault="00AE1AB7" w:rsidP="00AE1AB7">
            <w:pPr>
              <w:pStyle w:val="rvps7"/>
              <w:shd w:val="clear" w:color="auto" w:fill="FFFFFF"/>
              <w:spacing w:before="0" w:beforeAutospacing="0" w:after="0" w:afterAutospacing="0"/>
              <w:ind w:firstLine="261"/>
              <w:jc w:val="both"/>
              <w:textAlignment w:val="baseline"/>
              <w:rPr>
                <w:rStyle w:val="rvts15"/>
                <w:b/>
                <w:bCs/>
                <w:color w:val="000000" w:themeColor="text1"/>
                <w:lang w:val="uk-UA"/>
              </w:rPr>
            </w:pPr>
            <w:r w:rsidRPr="00AE1AB7">
              <w:rPr>
                <w:b/>
                <w:lang w:val="uk-UA" w:eastAsia="uk-UA"/>
              </w:rPr>
              <w:t>Фондова біржа може прийняти рішення щодо включення акцій до другого рівня лістингу за результатами проміжної фінансової звітності емітента, якщо вартість чистих активів емітента досягла встановленого рівня (за умови відповідності іншим мінімальним вимогам, зазначеним у цьому підпункті).</w:t>
            </w:r>
          </w:p>
        </w:tc>
      </w:tr>
      <w:tr w:rsidR="00B4418C" w:rsidRPr="00AA5EF2" w:rsidTr="00904961">
        <w:trPr>
          <w:jc w:val="center"/>
        </w:trPr>
        <w:tc>
          <w:tcPr>
            <w:tcW w:w="7431" w:type="dxa"/>
          </w:tcPr>
          <w:p w:rsidR="0039199E" w:rsidRPr="0039199E" w:rsidRDefault="0039199E" w:rsidP="0039199E">
            <w:pPr>
              <w:shd w:val="clear" w:color="auto" w:fill="FFFFFF"/>
              <w:ind w:firstLine="181"/>
              <w:jc w:val="both"/>
              <w:textAlignment w:val="baseline"/>
              <w:rPr>
                <w:rStyle w:val="rvts15"/>
                <w:bCs/>
                <w:color w:val="000000" w:themeColor="text1"/>
                <w:bdr w:val="none" w:sz="0" w:space="0" w:color="auto" w:frame="1"/>
              </w:rPr>
            </w:pPr>
            <w:r w:rsidRPr="0039199E">
              <w:rPr>
                <w:rStyle w:val="rvts15"/>
                <w:bCs/>
                <w:color w:val="000000" w:themeColor="text1"/>
                <w:bdr w:val="none" w:sz="0" w:space="0" w:color="auto" w:frame="1"/>
              </w:rPr>
              <w:lastRenderedPageBreak/>
              <w:t xml:space="preserve">7. У разі </w:t>
            </w:r>
            <w:proofErr w:type="spellStart"/>
            <w:r w:rsidRPr="0039199E">
              <w:rPr>
                <w:rStyle w:val="rvts15"/>
                <w:bCs/>
                <w:color w:val="000000" w:themeColor="text1"/>
                <w:bdr w:val="none" w:sz="0" w:space="0" w:color="auto" w:frame="1"/>
              </w:rPr>
              <w:t>нерозкриття</w:t>
            </w:r>
            <w:proofErr w:type="spellEnd"/>
            <w:r w:rsidRPr="0039199E">
              <w:rPr>
                <w:rStyle w:val="rvts15"/>
                <w:bCs/>
                <w:color w:val="000000" w:themeColor="text1"/>
                <w:bdr w:val="none" w:sz="0" w:space="0" w:color="auto" w:frame="1"/>
              </w:rPr>
              <w:t xml:space="preserve"> іноземним емітентом інформації на веб-сайті фондової біржі протягом 3 місяців з дня останнього розкриття інформації на фондовій біржі (якщо договором між фондовою біржею та іноземним емітентом передбачено зобов'язання іноземного емітента розкривати інформацію самостійно) фондова біржа здійснює </w:t>
            </w:r>
            <w:proofErr w:type="spellStart"/>
            <w:r w:rsidRPr="0039199E">
              <w:rPr>
                <w:rStyle w:val="rvts15"/>
                <w:bCs/>
                <w:color w:val="000000" w:themeColor="text1"/>
                <w:bdr w:val="none" w:sz="0" w:space="0" w:color="auto" w:frame="1"/>
              </w:rPr>
              <w:t>делістинг</w:t>
            </w:r>
            <w:proofErr w:type="spellEnd"/>
            <w:r w:rsidRPr="0039199E">
              <w:rPr>
                <w:rStyle w:val="rvts15"/>
                <w:bCs/>
                <w:color w:val="000000" w:themeColor="text1"/>
                <w:bdr w:val="none" w:sz="0" w:space="0" w:color="auto" w:frame="1"/>
              </w:rPr>
              <w:t xml:space="preserve"> цінного папера іноземного емітента.</w:t>
            </w:r>
          </w:p>
          <w:p w:rsidR="0039199E" w:rsidRDefault="0039199E" w:rsidP="0039199E">
            <w:pPr>
              <w:shd w:val="clear" w:color="auto" w:fill="FFFFFF"/>
              <w:ind w:firstLine="181"/>
              <w:jc w:val="both"/>
              <w:textAlignment w:val="baseline"/>
              <w:rPr>
                <w:rStyle w:val="rvts15"/>
                <w:bCs/>
                <w:color w:val="000000" w:themeColor="text1"/>
                <w:bdr w:val="none" w:sz="0" w:space="0" w:color="auto" w:frame="1"/>
              </w:rPr>
            </w:pPr>
          </w:p>
          <w:p w:rsidR="0039199E" w:rsidRPr="0039199E" w:rsidRDefault="0039199E" w:rsidP="0039199E">
            <w:pPr>
              <w:shd w:val="clear" w:color="auto" w:fill="FFFFFF"/>
              <w:ind w:firstLine="181"/>
              <w:jc w:val="both"/>
              <w:textAlignment w:val="baseline"/>
              <w:rPr>
                <w:rStyle w:val="rvts15"/>
                <w:b/>
                <w:bCs/>
                <w:color w:val="000000" w:themeColor="text1"/>
                <w:bdr w:val="none" w:sz="0" w:space="0" w:color="auto" w:frame="1"/>
              </w:rPr>
            </w:pPr>
            <w:r w:rsidRPr="0039199E">
              <w:rPr>
                <w:rStyle w:val="rvts15"/>
                <w:b/>
                <w:bCs/>
                <w:color w:val="000000" w:themeColor="text1"/>
                <w:bdr w:val="none" w:sz="0" w:space="0" w:color="auto" w:frame="1"/>
              </w:rPr>
              <w:t>Відсутній</w:t>
            </w:r>
          </w:p>
          <w:p w:rsidR="0039199E" w:rsidRDefault="0039199E" w:rsidP="0039199E">
            <w:pPr>
              <w:shd w:val="clear" w:color="auto" w:fill="FFFFFF"/>
              <w:ind w:firstLine="181"/>
              <w:jc w:val="both"/>
              <w:textAlignment w:val="baseline"/>
              <w:rPr>
                <w:rStyle w:val="rvts15"/>
                <w:bCs/>
                <w:color w:val="000000" w:themeColor="text1"/>
                <w:bdr w:val="none" w:sz="0" w:space="0" w:color="auto" w:frame="1"/>
              </w:rPr>
            </w:pPr>
          </w:p>
          <w:p w:rsidR="0039199E" w:rsidRDefault="0039199E" w:rsidP="0039199E">
            <w:pPr>
              <w:shd w:val="clear" w:color="auto" w:fill="FFFFFF"/>
              <w:ind w:firstLine="181"/>
              <w:jc w:val="both"/>
              <w:textAlignment w:val="baseline"/>
              <w:rPr>
                <w:rStyle w:val="rvts15"/>
                <w:bCs/>
                <w:color w:val="000000" w:themeColor="text1"/>
                <w:bdr w:val="none" w:sz="0" w:space="0" w:color="auto" w:frame="1"/>
              </w:rPr>
            </w:pPr>
          </w:p>
          <w:p w:rsidR="0039199E" w:rsidRDefault="0039199E" w:rsidP="0039199E">
            <w:pPr>
              <w:shd w:val="clear" w:color="auto" w:fill="FFFFFF"/>
              <w:ind w:firstLine="181"/>
              <w:jc w:val="both"/>
              <w:textAlignment w:val="baseline"/>
              <w:rPr>
                <w:rStyle w:val="rvts15"/>
                <w:bCs/>
                <w:color w:val="000000" w:themeColor="text1"/>
                <w:bdr w:val="none" w:sz="0" w:space="0" w:color="auto" w:frame="1"/>
              </w:rPr>
            </w:pPr>
          </w:p>
          <w:p w:rsidR="00B4418C" w:rsidRPr="00AE1AB7" w:rsidRDefault="0039199E" w:rsidP="0039199E">
            <w:pPr>
              <w:shd w:val="clear" w:color="auto" w:fill="FFFFFF"/>
              <w:ind w:firstLine="181"/>
              <w:jc w:val="both"/>
              <w:textAlignment w:val="baseline"/>
              <w:rPr>
                <w:rStyle w:val="rvts15"/>
                <w:bCs/>
                <w:color w:val="000000" w:themeColor="text1"/>
                <w:bdr w:val="none" w:sz="0" w:space="0" w:color="auto" w:frame="1"/>
              </w:rPr>
            </w:pPr>
            <w:r w:rsidRPr="0039199E">
              <w:rPr>
                <w:rStyle w:val="rvts15"/>
                <w:bCs/>
                <w:color w:val="000000" w:themeColor="text1"/>
                <w:bdr w:val="none" w:sz="0" w:space="0" w:color="auto" w:frame="1"/>
              </w:rPr>
              <w:t>8. Показники, наведені в абзацах п'ятому та восьмому підпункту 3.1, абзаці п'ятому підпункту 3.2, абзаці третьому підпункту 3.3 та абзаці четвертому підпункту 3.4 пункту 3; в абзацах четвертому та п'ятому підпункту 4.1, абзаці п'ятому підпункту 4.2, абзаці третьому підпункту 4.3 та абзаці четвертому підпункту 4.4 пункту 4 цього розділу, визначаються фондовою біржею без урахування їх значень на інших фондових біржах.</w:t>
            </w:r>
          </w:p>
        </w:tc>
        <w:tc>
          <w:tcPr>
            <w:tcW w:w="7432" w:type="dxa"/>
          </w:tcPr>
          <w:p w:rsidR="0039199E" w:rsidRDefault="0039199E" w:rsidP="0039199E">
            <w:pPr>
              <w:shd w:val="clear" w:color="auto" w:fill="FFFFFF"/>
              <w:ind w:firstLine="181"/>
              <w:jc w:val="both"/>
              <w:textAlignment w:val="baseline"/>
              <w:rPr>
                <w:rStyle w:val="rvts15"/>
                <w:bCs/>
                <w:color w:val="000000" w:themeColor="text1"/>
                <w:bdr w:val="none" w:sz="0" w:space="0" w:color="auto" w:frame="1"/>
              </w:rPr>
            </w:pPr>
            <w:r w:rsidRPr="0039199E">
              <w:rPr>
                <w:rStyle w:val="rvts15"/>
                <w:bCs/>
                <w:color w:val="000000" w:themeColor="text1"/>
                <w:bdr w:val="none" w:sz="0" w:space="0" w:color="auto" w:frame="1"/>
              </w:rPr>
              <w:t xml:space="preserve">7. У разі </w:t>
            </w:r>
            <w:proofErr w:type="spellStart"/>
            <w:r w:rsidRPr="0039199E">
              <w:rPr>
                <w:rStyle w:val="rvts15"/>
                <w:bCs/>
                <w:color w:val="000000" w:themeColor="text1"/>
                <w:bdr w:val="none" w:sz="0" w:space="0" w:color="auto" w:frame="1"/>
              </w:rPr>
              <w:t>нерозкриття</w:t>
            </w:r>
            <w:proofErr w:type="spellEnd"/>
            <w:r w:rsidRPr="0039199E">
              <w:rPr>
                <w:rStyle w:val="rvts15"/>
                <w:bCs/>
                <w:color w:val="000000" w:themeColor="text1"/>
                <w:bdr w:val="none" w:sz="0" w:space="0" w:color="auto" w:frame="1"/>
              </w:rPr>
              <w:t xml:space="preserve"> іноземним емітентом інформації на веб-сайті фондової біржі протягом 3 місяців з дня останнього розкриття інформації на фондовій біржі (якщо договором між фондовою біржею та іноземним емітентом передбачено зобов'язання іноземного емітента розкривати інформацію самостійно) фондова біржа здійснює </w:t>
            </w:r>
            <w:proofErr w:type="spellStart"/>
            <w:r w:rsidRPr="0039199E">
              <w:rPr>
                <w:rStyle w:val="rvts15"/>
                <w:bCs/>
                <w:color w:val="000000" w:themeColor="text1"/>
                <w:bdr w:val="none" w:sz="0" w:space="0" w:color="auto" w:frame="1"/>
              </w:rPr>
              <w:t>делістинг</w:t>
            </w:r>
            <w:proofErr w:type="spellEnd"/>
            <w:r w:rsidRPr="0039199E">
              <w:rPr>
                <w:rStyle w:val="rvts15"/>
                <w:bCs/>
                <w:color w:val="000000" w:themeColor="text1"/>
                <w:bdr w:val="none" w:sz="0" w:space="0" w:color="auto" w:frame="1"/>
              </w:rPr>
              <w:t xml:space="preserve"> цінного папера іноземного емітента.</w:t>
            </w:r>
          </w:p>
          <w:p w:rsidR="0039199E" w:rsidRPr="0039199E" w:rsidRDefault="0039199E" w:rsidP="0039199E">
            <w:pPr>
              <w:shd w:val="clear" w:color="auto" w:fill="FFFFFF"/>
              <w:ind w:firstLine="181"/>
              <w:jc w:val="both"/>
              <w:textAlignment w:val="baseline"/>
              <w:rPr>
                <w:rStyle w:val="rvts15"/>
                <w:b/>
                <w:bCs/>
                <w:color w:val="000000" w:themeColor="text1"/>
                <w:bdr w:val="none" w:sz="0" w:space="0" w:color="auto" w:frame="1"/>
              </w:rPr>
            </w:pPr>
            <w:r w:rsidRPr="0039199E">
              <w:rPr>
                <w:rStyle w:val="rvts15"/>
                <w:b/>
                <w:bCs/>
                <w:color w:val="000000" w:themeColor="text1"/>
                <w:bdr w:val="none" w:sz="0" w:space="0" w:color="auto" w:frame="1"/>
              </w:rPr>
              <w:t>8. Вимоги, зазначені в абзаці восьмому підпункту 3.1 пункту 3 та абзаці п'ятому підпункту 4.1 пункту 4 цього розділу, застосовуються без урахування біржових контрактів (договорів), у яких центральний контрагент виступає як покупець цінних паперів.</w:t>
            </w:r>
          </w:p>
          <w:p w:rsidR="00B4418C" w:rsidRPr="00AE1AB7" w:rsidRDefault="0039199E" w:rsidP="0039199E">
            <w:pPr>
              <w:shd w:val="clear" w:color="auto" w:fill="FFFFFF"/>
              <w:ind w:firstLine="181"/>
              <w:jc w:val="both"/>
              <w:textAlignment w:val="baseline"/>
              <w:rPr>
                <w:rStyle w:val="rvts15"/>
                <w:bCs/>
                <w:color w:val="000000" w:themeColor="text1"/>
                <w:bdr w:val="none" w:sz="0" w:space="0" w:color="auto" w:frame="1"/>
              </w:rPr>
            </w:pPr>
            <w:r w:rsidRPr="0039199E">
              <w:rPr>
                <w:rStyle w:val="rvts15"/>
                <w:b/>
                <w:bCs/>
                <w:color w:val="000000" w:themeColor="text1"/>
                <w:bdr w:val="none" w:sz="0" w:space="0" w:color="auto" w:frame="1"/>
              </w:rPr>
              <w:t>9.</w:t>
            </w:r>
            <w:r w:rsidRPr="0039199E">
              <w:rPr>
                <w:rStyle w:val="rvts15"/>
                <w:bCs/>
                <w:color w:val="000000" w:themeColor="text1"/>
                <w:bdr w:val="none" w:sz="0" w:space="0" w:color="auto" w:frame="1"/>
              </w:rPr>
              <w:t xml:space="preserve"> Показники, наведені в абзацах п'ятому та восьмому підпункту 3.1, абзаці п'ятому підпункту 3.2, абзаці третьому підпункту 3.3 та абзаці четвертому підпункту 3.4 пункту 3; в абзацах четвертому та п'ятому підпункту 4.1, абзаці п'ятому підпункту 4.2, абзаці третьому підпункту 4.3 та абзаці четвертому підпункту 4.4 пункту 4 цього розділу, визначаються фондовою біржею без урахування їх значень на інших фондових біржах.</w:t>
            </w:r>
          </w:p>
        </w:tc>
      </w:tr>
      <w:tr w:rsidR="00B116DE" w:rsidRPr="00AA5EF2" w:rsidTr="00904961">
        <w:trPr>
          <w:jc w:val="center"/>
        </w:trPr>
        <w:tc>
          <w:tcPr>
            <w:tcW w:w="7431" w:type="dxa"/>
          </w:tcPr>
          <w:p w:rsidR="00B116DE" w:rsidRDefault="00B116DE" w:rsidP="00AE1AB7">
            <w:pPr>
              <w:shd w:val="clear" w:color="auto" w:fill="FFFFFF"/>
              <w:ind w:firstLine="181"/>
              <w:jc w:val="both"/>
              <w:textAlignment w:val="baseline"/>
              <w:rPr>
                <w:rStyle w:val="rvts15"/>
                <w:bCs/>
                <w:color w:val="000000" w:themeColor="text1"/>
                <w:bdr w:val="none" w:sz="0" w:space="0" w:color="auto" w:frame="1"/>
              </w:rPr>
            </w:pPr>
            <w:r w:rsidRPr="00B116DE">
              <w:rPr>
                <w:rStyle w:val="rvts15"/>
                <w:bCs/>
                <w:color w:val="000000" w:themeColor="text1"/>
                <w:bdr w:val="none" w:sz="0" w:space="0" w:color="auto" w:frame="1"/>
              </w:rPr>
              <w:t>V. Допуск членів фондової біржі та інших осіб до біржових торгів</w:t>
            </w:r>
          </w:p>
          <w:p w:rsidR="00B116DE" w:rsidRPr="00B116DE" w:rsidRDefault="00B116DE" w:rsidP="00B116DE">
            <w:pPr>
              <w:shd w:val="clear" w:color="auto" w:fill="FFFFFF"/>
              <w:ind w:firstLine="181"/>
              <w:jc w:val="both"/>
              <w:textAlignment w:val="baseline"/>
              <w:rPr>
                <w:rStyle w:val="rvts15"/>
                <w:bCs/>
                <w:color w:val="000000" w:themeColor="text1"/>
                <w:bdr w:val="none" w:sz="0" w:space="0" w:color="auto" w:frame="1"/>
              </w:rPr>
            </w:pPr>
            <w:r w:rsidRPr="00B116DE">
              <w:rPr>
                <w:rStyle w:val="rvts15"/>
                <w:bCs/>
                <w:color w:val="000000" w:themeColor="text1"/>
                <w:bdr w:val="none" w:sz="0" w:space="0" w:color="auto" w:frame="1"/>
              </w:rPr>
              <w:t xml:space="preserve">3. Перелік членів фондової біржі повинен передбачати щонайменше </w:t>
            </w:r>
            <w:r w:rsidRPr="00B116DE">
              <w:rPr>
                <w:rStyle w:val="rvts15"/>
                <w:bCs/>
                <w:color w:val="000000" w:themeColor="text1"/>
                <w:bdr w:val="none" w:sz="0" w:space="0" w:color="auto" w:frame="1"/>
              </w:rPr>
              <w:lastRenderedPageBreak/>
              <w:t>такі дані: найменування та код за ЄДРПОУ члена фондової біржі; місцезнаходження, номер телефону, факсу та e-</w:t>
            </w:r>
            <w:proofErr w:type="spellStart"/>
            <w:r w:rsidRPr="00B116DE">
              <w:rPr>
                <w:rStyle w:val="rvts15"/>
                <w:bCs/>
                <w:color w:val="000000" w:themeColor="text1"/>
                <w:bdr w:val="none" w:sz="0" w:space="0" w:color="auto" w:frame="1"/>
              </w:rPr>
              <w:t>mail</w:t>
            </w:r>
            <w:proofErr w:type="spellEnd"/>
            <w:r w:rsidRPr="00B116DE">
              <w:rPr>
                <w:rStyle w:val="rvts15"/>
                <w:bCs/>
                <w:color w:val="000000" w:themeColor="text1"/>
                <w:bdr w:val="none" w:sz="0" w:space="0" w:color="auto" w:frame="1"/>
              </w:rPr>
              <w:t xml:space="preserve"> члена фондової біржі; номер, дату видачі та строк дії ліцензії торговця цінними паперами; дату набуття статусу члена фондової біржі.</w:t>
            </w:r>
          </w:p>
          <w:p w:rsidR="00B116DE" w:rsidRPr="00AE1AB7" w:rsidRDefault="00B116DE" w:rsidP="00B116DE">
            <w:pPr>
              <w:shd w:val="clear" w:color="auto" w:fill="FFFFFF"/>
              <w:ind w:firstLine="181"/>
              <w:jc w:val="both"/>
              <w:textAlignment w:val="baseline"/>
              <w:rPr>
                <w:rStyle w:val="rvts15"/>
                <w:bCs/>
                <w:color w:val="000000" w:themeColor="text1"/>
                <w:bdr w:val="none" w:sz="0" w:space="0" w:color="auto" w:frame="1"/>
              </w:rPr>
            </w:pPr>
            <w:r w:rsidRPr="00B116DE">
              <w:rPr>
                <w:rStyle w:val="rvts15"/>
                <w:bCs/>
                <w:color w:val="000000" w:themeColor="text1"/>
                <w:bdr w:val="none" w:sz="0" w:space="0" w:color="auto" w:frame="1"/>
              </w:rPr>
              <w:t>4. Перелік уповноважених представників учасників біржових торгів повинен передбачати щонайменше такі дані: прізвище, ім'я, по батькові представника; найменування члена фондової біржі або учасника біржових торгів, якого він представляє; найменування та дату видачі документа, на підставі якого представнику надано право укладати біржові контракти (</w:t>
            </w:r>
            <w:r w:rsidRPr="00C52693">
              <w:rPr>
                <w:rStyle w:val="rvts15"/>
                <w:b/>
                <w:bCs/>
                <w:strike/>
                <w:color w:val="000000" w:themeColor="text1"/>
                <w:bdr w:val="none" w:sz="0" w:space="0" w:color="auto" w:frame="1"/>
              </w:rPr>
              <w:t>угоди</w:t>
            </w:r>
            <w:r w:rsidRPr="00B116DE">
              <w:rPr>
                <w:rStyle w:val="rvts15"/>
                <w:bCs/>
                <w:color w:val="000000" w:themeColor="text1"/>
                <w:bdr w:val="none" w:sz="0" w:space="0" w:color="auto" w:frame="1"/>
              </w:rPr>
              <w:t>); строк повноважень представника, який не може перевищувати строку дії сертифіката фахівця з торгівлі цінними паперами, отриманого в установленому законодавством порядку.</w:t>
            </w:r>
          </w:p>
        </w:tc>
        <w:tc>
          <w:tcPr>
            <w:tcW w:w="7432" w:type="dxa"/>
          </w:tcPr>
          <w:p w:rsidR="00B116DE" w:rsidRDefault="00B116DE" w:rsidP="00EE084B">
            <w:pPr>
              <w:shd w:val="clear" w:color="auto" w:fill="FFFFFF"/>
              <w:ind w:firstLine="181"/>
              <w:jc w:val="both"/>
              <w:textAlignment w:val="baseline"/>
              <w:rPr>
                <w:rStyle w:val="rvts15"/>
                <w:bCs/>
                <w:color w:val="000000" w:themeColor="text1"/>
                <w:bdr w:val="none" w:sz="0" w:space="0" w:color="auto" w:frame="1"/>
              </w:rPr>
            </w:pPr>
            <w:r w:rsidRPr="00B116DE">
              <w:rPr>
                <w:rStyle w:val="rvts15"/>
                <w:bCs/>
                <w:color w:val="000000" w:themeColor="text1"/>
                <w:bdr w:val="none" w:sz="0" w:space="0" w:color="auto" w:frame="1"/>
              </w:rPr>
              <w:lastRenderedPageBreak/>
              <w:t>V. Допуск членів фондової біржі та інших осіб до біржових торгів</w:t>
            </w:r>
          </w:p>
          <w:p w:rsidR="00B116DE" w:rsidRPr="00B116DE" w:rsidRDefault="00B116DE" w:rsidP="00EE084B">
            <w:pPr>
              <w:shd w:val="clear" w:color="auto" w:fill="FFFFFF"/>
              <w:ind w:firstLine="181"/>
              <w:jc w:val="both"/>
              <w:textAlignment w:val="baseline"/>
              <w:rPr>
                <w:rStyle w:val="rvts15"/>
                <w:bCs/>
                <w:color w:val="000000" w:themeColor="text1"/>
                <w:bdr w:val="none" w:sz="0" w:space="0" w:color="auto" w:frame="1"/>
              </w:rPr>
            </w:pPr>
            <w:r w:rsidRPr="00B116DE">
              <w:rPr>
                <w:rStyle w:val="rvts15"/>
                <w:bCs/>
                <w:color w:val="000000" w:themeColor="text1"/>
                <w:bdr w:val="none" w:sz="0" w:space="0" w:color="auto" w:frame="1"/>
              </w:rPr>
              <w:t xml:space="preserve">3. Перелік членів фондової біржі </w:t>
            </w:r>
            <w:r w:rsidRPr="00B116DE">
              <w:rPr>
                <w:rStyle w:val="rvts15"/>
                <w:b/>
                <w:bCs/>
                <w:color w:val="000000" w:themeColor="text1"/>
                <w:bdr w:val="none" w:sz="0" w:space="0" w:color="auto" w:frame="1"/>
              </w:rPr>
              <w:t xml:space="preserve">оприлюднюється на власному </w:t>
            </w:r>
            <w:r w:rsidRPr="00B116DE">
              <w:rPr>
                <w:rStyle w:val="rvts15"/>
                <w:b/>
                <w:bCs/>
                <w:color w:val="000000" w:themeColor="text1"/>
                <w:bdr w:val="none" w:sz="0" w:space="0" w:color="auto" w:frame="1"/>
              </w:rPr>
              <w:lastRenderedPageBreak/>
              <w:t>веб-сайті фондової біржі (у цілодобовому режимі) та</w:t>
            </w:r>
            <w:r w:rsidRPr="00B116DE">
              <w:rPr>
                <w:rStyle w:val="rvts15"/>
                <w:bCs/>
                <w:color w:val="000000" w:themeColor="text1"/>
                <w:bdr w:val="none" w:sz="0" w:space="0" w:color="auto" w:frame="1"/>
              </w:rPr>
              <w:t xml:space="preserve"> </w:t>
            </w:r>
            <w:r w:rsidRPr="00B116DE">
              <w:rPr>
                <w:rStyle w:val="rvts15"/>
                <w:bCs/>
                <w:color w:val="000000" w:themeColor="text1"/>
                <w:bdr w:val="none" w:sz="0" w:space="0" w:color="auto" w:frame="1"/>
              </w:rPr>
              <w:t>повинен передбачати щонайменше такі дані: найменування та код за ЄДРПОУ члена фондової біржі; місцезнаходження, номер телефону, факсу та e-</w:t>
            </w:r>
            <w:proofErr w:type="spellStart"/>
            <w:r w:rsidRPr="00B116DE">
              <w:rPr>
                <w:rStyle w:val="rvts15"/>
                <w:bCs/>
                <w:color w:val="000000" w:themeColor="text1"/>
                <w:bdr w:val="none" w:sz="0" w:space="0" w:color="auto" w:frame="1"/>
              </w:rPr>
              <w:t>mail</w:t>
            </w:r>
            <w:proofErr w:type="spellEnd"/>
            <w:r w:rsidRPr="00B116DE">
              <w:rPr>
                <w:rStyle w:val="rvts15"/>
                <w:bCs/>
                <w:color w:val="000000" w:themeColor="text1"/>
                <w:bdr w:val="none" w:sz="0" w:space="0" w:color="auto" w:frame="1"/>
              </w:rPr>
              <w:t xml:space="preserve"> члена фондової біржі; номер, дату видачі та строк дії ліцензії торговця цінними паперами; дату набуття статусу члена фондової біржі.</w:t>
            </w:r>
          </w:p>
          <w:p w:rsidR="00B116DE" w:rsidRPr="00AE1AB7" w:rsidRDefault="00B116DE" w:rsidP="00EE084B">
            <w:pPr>
              <w:shd w:val="clear" w:color="auto" w:fill="FFFFFF"/>
              <w:ind w:firstLine="181"/>
              <w:jc w:val="both"/>
              <w:textAlignment w:val="baseline"/>
              <w:rPr>
                <w:rStyle w:val="rvts15"/>
                <w:bCs/>
                <w:color w:val="000000" w:themeColor="text1"/>
                <w:bdr w:val="none" w:sz="0" w:space="0" w:color="auto" w:frame="1"/>
              </w:rPr>
            </w:pPr>
            <w:r w:rsidRPr="00B116DE">
              <w:rPr>
                <w:rStyle w:val="rvts15"/>
                <w:bCs/>
                <w:color w:val="000000" w:themeColor="text1"/>
                <w:bdr w:val="none" w:sz="0" w:space="0" w:color="auto" w:frame="1"/>
              </w:rPr>
              <w:t>4. Перелік уповноважених представників учасників біржових торгів повинен передбачати щонайменше такі дані: прізвище, ім'я, по батькові представника; найменування члена фондової біржі або учасника біржових торгів, якого він представляє; найменування та дату видачі документа, на підставі якого представнику надано право укладати біржові контракти (</w:t>
            </w:r>
            <w:r w:rsidR="00C52693" w:rsidRPr="00C52693">
              <w:rPr>
                <w:rStyle w:val="rvts15"/>
                <w:b/>
                <w:bCs/>
                <w:color w:val="000000" w:themeColor="text1"/>
                <w:bdr w:val="none" w:sz="0" w:space="0" w:color="auto" w:frame="1"/>
              </w:rPr>
              <w:t>договори</w:t>
            </w:r>
            <w:r w:rsidRPr="00B116DE">
              <w:rPr>
                <w:rStyle w:val="rvts15"/>
                <w:bCs/>
                <w:color w:val="000000" w:themeColor="text1"/>
                <w:bdr w:val="none" w:sz="0" w:space="0" w:color="auto" w:frame="1"/>
              </w:rPr>
              <w:t>); строк повноважень представника, який не може перевищувати строку дії сертифіката фахівця з торгівлі цінними паперами, отриманого в установленому законодавством порядку.</w:t>
            </w:r>
          </w:p>
        </w:tc>
      </w:tr>
      <w:tr w:rsidR="00C52693" w:rsidRPr="00AA5EF2" w:rsidTr="00904961">
        <w:trPr>
          <w:jc w:val="center"/>
        </w:trPr>
        <w:tc>
          <w:tcPr>
            <w:tcW w:w="7431" w:type="dxa"/>
          </w:tcPr>
          <w:p w:rsidR="00C52693" w:rsidRDefault="00C52693" w:rsidP="00C52693">
            <w:pPr>
              <w:shd w:val="clear" w:color="auto" w:fill="FFFFFF"/>
              <w:ind w:firstLine="181"/>
              <w:jc w:val="both"/>
              <w:textAlignment w:val="baseline"/>
              <w:rPr>
                <w:rStyle w:val="rvts15"/>
                <w:bCs/>
                <w:color w:val="000000" w:themeColor="text1"/>
                <w:bdr w:val="none" w:sz="0" w:space="0" w:color="auto" w:frame="1"/>
              </w:rPr>
            </w:pPr>
            <w:r w:rsidRPr="00C52693">
              <w:rPr>
                <w:rStyle w:val="rvts15"/>
                <w:bCs/>
                <w:color w:val="000000" w:themeColor="text1"/>
                <w:bdr w:val="none" w:sz="0" w:space="0" w:color="auto" w:frame="1"/>
              </w:rPr>
              <w:lastRenderedPageBreak/>
              <w:t>VI. Котирування цінних паперів та оприлюднення їх біржового курсу</w:t>
            </w:r>
          </w:p>
          <w:p w:rsidR="00C52693" w:rsidRPr="00C52693" w:rsidRDefault="00C52693" w:rsidP="00C52693">
            <w:pPr>
              <w:shd w:val="clear" w:color="auto" w:fill="FFFFFF"/>
              <w:ind w:firstLine="181"/>
              <w:jc w:val="both"/>
              <w:textAlignment w:val="baseline"/>
              <w:rPr>
                <w:rStyle w:val="rvts15"/>
                <w:bCs/>
                <w:color w:val="000000" w:themeColor="text1"/>
                <w:bdr w:val="none" w:sz="0" w:space="0" w:color="auto" w:frame="1"/>
              </w:rPr>
            </w:pPr>
            <w:r w:rsidRPr="00C52693">
              <w:rPr>
                <w:rStyle w:val="rvts15"/>
                <w:bCs/>
                <w:color w:val="000000" w:themeColor="text1"/>
                <w:bdr w:val="none" w:sz="0" w:space="0" w:color="auto" w:frame="1"/>
              </w:rPr>
              <w:t>1.</w:t>
            </w:r>
            <w:r>
              <w:rPr>
                <w:rStyle w:val="rvts15"/>
                <w:bCs/>
                <w:color w:val="000000" w:themeColor="text1"/>
                <w:bdr w:val="none" w:sz="0" w:space="0" w:color="auto" w:frame="1"/>
              </w:rPr>
              <w:t xml:space="preserve"> </w:t>
            </w:r>
            <w:r w:rsidRPr="00C52693">
              <w:rPr>
                <w:rStyle w:val="rvts15"/>
                <w:bCs/>
                <w:color w:val="000000" w:themeColor="text1"/>
                <w:bdr w:val="none" w:sz="0" w:space="0" w:color="auto" w:frame="1"/>
              </w:rPr>
              <w:t>Фондова біржа повинна затвердити порядок котирування цінних паперів та інших фінансових інструментів за технологіями проведення торгів, у тому числі із застосуванням електронної системи торгів, порядок визначення біржового курсу.</w:t>
            </w:r>
          </w:p>
          <w:p w:rsidR="00C52693" w:rsidRDefault="00C52693" w:rsidP="00C52693">
            <w:pPr>
              <w:ind w:firstLine="181"/>
              <w:jc w:val="both"/>
              <w:rPr>
                <w:rStyle w:val="rvts15"/>
                <w:bCs/>
                <w:color w:val="000000" w:themeColor="text1"/>
                <w:bdr w:val="none" w:sz="0" w:space="0" w:color="auto" w:frame="1"/>
              </w:rPr>
            </w:pPr>
            <w:r>
              <w:rPr>
                <w:rStyle w:val="rvts15"/>
                <w:bCs/>
                <w:color w:val="000000" w:themeColor="text1"/>
                <w:bdr w:val="none" w:sz="0" w:space="0" w:color="auto" w:frame="1"/>
              </w:rPr>
              <w:t>…</w:t>
            </w:r>
          </w:p>
          <w:p w:rsidR="00C52693" w:rsidRDefault="00C52693" w:rsidP="00C52693">
            <w:pPr>
              <w:ind w:firstLine="181"/>
              <w:jc w:val="both"/>
              <w:rPr>
                <w:rStyle w:val="rvts15"/>
                <w:bCs/>
                <w:color w:val="000000" w:themeColor="text1"/>
                <w:bdr w:val="none" w:sz="0" w:space="0" w:color="auto" w:frame="1"/>
              </w:rPr>
            </w:pPr>
            <w:r w:rsidRPr="00C52693">
              <w:rPr>
                <w:rStyle w:val="rvts15"/>
                <w:bCs/>
                <w:color w:val="000000" w:themeColor="text1"/>
                <w:bdr w:val="none" w:sz="0" w:space="0" w:color="auto" w:frame="1"/>
              </w:rPr>
              <w:t>Біржовий курс цінного папера визначається у порядку, встановленому Комісією. Біржовий курс цінного папера не визначається при первинному розміщенні цінних паперів, за операціями РЕПО, за контрактами (договорами), укладеними на підставі адресних заявок, за контрактами (договорами), укладеними при проведенні торгів з продажу акцій, що належать державі.</w:t>
            </w:r>
          </w:p>
          <w:p w:rsidR="00C52693" w:rsidRDefault="00C52693" w:rsidP="00C52693">
            <w:pPr>
              <w:ind w:firstLine="181"/>
              <w:jc w:val="both"/>
              <w:rPr>
                <w:rStyle w:val="rvts15"/>
                <w:bCs/>
                <w:color w:val="000000" w:themeColor="text1"/>
                <w:bdr w:val="none" w:sz="0" w:space="0" w:color="auto" w:frame="1"/>
              </w:rPr>
            </w:pPr>
            <w:r w:rsidRPr="00C52693">
              <w:rPr>
                <w:rStyle w:val="rvts15"/>
                <w:bCs/>
                <w:color w:val="000000" w:themeColor="text1"/>
                <w:bdr w:val="none" w:sz="0" w:space="0" w:color="auto" w:frame="1"/>
              </w:rPr>
              <w:t>Якщо фондовою біржею установлюються додаткові вимоги щодо визначення біржового курсу, такі вимоги погоджуються з Комісією.</w:t>
            </w:r>
          </w:p>
          <w:p w:rsidR="00C52693" w:rsidRDefault="00C52693" w:rsidP="00C52693">
            <w:pPr>
              <w:ind w:firstLine="181"/>
              <w:jc w:val="both"/>
              <w:rPr>
                <w:rStyle w:val="rvts15"/>
                <w:bCs/>
                <w:color w:val="000000" w:themeColor="text1"/>
                <w:bdr w:val="none" w:sz="0" w:space="0" w:color="auto" w:frame="1"/>
              </w:rPr>
            </w:pPr>
            <w:r>
              <w:rPr>
                <w:rStyle w:val="rvts15"/>
                <w:bCs/>
                <w:color w:val="000000" w:themeColor="text1"/>
                <w:bdr w:val="none" w:sz="0" w:space="0" w:color="auto" w:frame="1"/>
              </w:rPr>
              <w:t>…</w:t>
            </w:r>
          </w:p>
          <w:p w:rsidR="00C52693" w:rsidRDefault="00C52693" w:rsidP="00C52693">
            <w:pPr>
              <w:ind w:firstLine="181"/>
              <w:jc w:val="both"/>
              <w:rPr>
                <w:rStyle w:val="rvts15"/>
                <w:bCs/>
                <w:color w:val="000000" w:themeColor="text1"/>
                <w:bdr w:val="none" w:sz="0" w:space="0" w:color="auto" w:frame="1"/>
              </w:rPr>
            </w:pPr>
          </w:p>
          <w:p w:rsidR="00C52693" w:rsidRDefault="00C52693" w:rsidP="00C52693">
            <w:pPr>
              <w:ind w:firstLine="181"/>
              <w:jc w:val="both"/>
              <w:rPr>
                <w:rStyle w:val="rvts15"/>
                <w:bCs/>
                <w:color w:val="000000" w:themeColor="text1"/>
                <w:bdr w:val="none" w:sz="0" w:space="0" w:color="auto" w:frame="1"/>
              </w:rPr>
            </w:pPr>
          </w:p>
          <w:p w:rsidR="00C52693" w:rsidRDefault="00C52693" w:rsidP="00C52693">
            <w:pPr>
              <w:ind w:firstLine="181"/>
              <w:jc w:val="both"/>
              <w:rPr>
                <w:rStyle w:val="rvts15"/>
                <w:bCs/>
                <w:color w:val="000000" w:themeColor="text1"/>
                <w:bdr w:val="none" w:sz="0" w:space="0" w:color="auto" w:frame="1"/>
              </w:rPr>
            </w:pPr>
          </w:p>
          <w:p w:rsidR="00C52693" w:rsidRDefault="00C52693" w:rsidP="00C52693">
            <w:pPr>
              <w:ind w:firstLine="181"/>
              <w:jc w:val="both"/>
              <w:rPr>
                <w:rStyle w:val="rvts15"/>
                <w:bCs/>
                <w:color w:val="000000" w:themeColor="text1"/>
                <w:bdr w:val="none" w:sz="0" w:space="0" w:color="auto" w:frame="1"/>
              </w:rPr>
            </w:pPr>
          </w:p>
          <w:p w:rsidR="00C52693" w:rsidRDefault="00C52693" w:rsidP="00C52693">
            <w:pPr>
              <w:ind w:firstLine="181"/>
              <w:jc w:val="both"/>
              <w:rPr>
                <w:rStyle w:val="rvts15"/>
                <w:bCs/>
                <w:color w:val="000000" w:themeColor="text1"/>
                <w:bdr w:val="none" w:sz="0" w:space="0" w:color="auto" w:frame="1"/>
              </w:rPr>
            </w:pPr>
          </w:p>
          <w:p w:rsidR="00C52693" w:rsidRDefault="00C52693" w:rsidP="00C52693">
            <w:pPr>
              <w:ind w:firstLine="181"/>
              <w:jc w:val="both"/>
              <w:rPr>
                <w:rStyle w:val="rvts15"/>
                <w:bCs/>
                <w:color w:val="000000" w:themeColor="text1"/>
                <w:bdr w:val="none" w:sz="0" w:space="0" w:color="auto" w:frame="1"/>
              </w:rPr>
            </w:pPr>
          </w:p>
          <w:p w:rsidR="00C52693" w:rsidRPr="00C52693" w:rsidRDefault="00C52693" w:rsidP="00C52693">
            <w:pPr>
              <w:ind w:firstLine="181"/>
              <w:jc w:val="both"/>
              <w:rPr>
                <w:rStyle w:val="rvts15"/>
                <w:bCs/>
                <w:strike/>
                <w:color w:val="000000" w:themeColor="text1"/>
                <w:bdr w:val="none" w:sz="0" w:space="0" w:color="auto" w:frame="1"/>
              </w:rPr>
            </w:pPr>
            <w:r w:rsidRPr="00C52693">
              <w:rPr>
                <w:rStyle w:val="rvts15"/>
                <w:bCs/>
                <w:strike/>
                <w:color w:val="000000" w:themeColor="text1"/>
                <w:bdr w:val="none" w:sz="0" w:space="0" w:color="auto" w:frame="1"/>
              </w:rPr>
              <w:t xml:space="preserve">Документом, що підтверджує проведення розрахунків за біржовими контрактами (договорами), є відомість </w:t>
            </w:r>
            <w:proofErr w:type="spellStart"/>
            <w:r w:rsidRPr="00C52693">
              <w:rPr>
                <w:rStyle w:val="rvts15"/>
                <w:bCs/>
                <w:strike/>
                <w:color w:val="000000" w:themeColor="text1"/>
                <w:bdr w:val="none" w:sz="0" w:space="0" w:color="auto" w:frame="1"/>
              </w:rPr>
              <w:t>сквитованих</w:t>
            </w:r>
            <w:proofErr w:type="spellEnd"/>
            <w:r w:rsidRPr="00C52693">
              <w:rPr>
                <w:rStyle w:val="rvts15"/>
                <w:bCs/>
                <w:strike/>
                <w:color w:val="000000" w:themeColor="text1"/>
                <w:bdr w:val="none" w:sz="0" w:space="0" w:color="auto" w:frame="1"/>
              </w:rPr>
              <w:t xml:space="preserve"> розпоряджень (реєстр укладених договорів) з підтвердженням кліринговим депозитарієм (особою, що провадить клірингову діяльність) проведення розрахунків.</w:t>
            </w:r>
          </w:p>
        </w:tc>
        <w:tc>
          <w:tcPr>
            <w:tcW w:w="7432" w:type="dxa"/>
          </w:tcPr>
          <w:p w:rsidR="00C52693" w:rsidRDefault="00C52693" w:rsidP="00EE084B">
            <w:pPr>
              <w:shd w:val="clear" w:color="auto" w:fill="FFFFFF"/>
              <w:ind w:firstLine="181"/>
              <w:jc w:val="both"/>
              <w:textAlignment w:val="baseline"/>
              <w:rPr>
                <w:rStyle w:val="rvts15"/>
                <w:bCs/>
                <w:color w:val="000000" w:themeColor="text1"/>
                <w:bdr w:val="none" w:sz="0" w:space="0" w:color="auto" w:frame="1"/>
              </w:rPr>
            </w:pPr>
            <w:r w:rsidRPr="00C52693">
              <w:rPr>
                <w:rStyle w:val="rvts15"/>
                <w:bCs/>
                <w:color w:val="000000" w:themeColor="text1"/>
                <w:bdr w:val="none" w:sz="0" w:space="0" w:color="auto" w:frame="1"/>
              </w:rPr>
              <w:lastRenderedPageBreak/>
              <w:t>VI. Котирування цінних паперів та оприлюднення їх біржового курсу</w:t>
            </w:r>
          </w:p>
          <w:p w:rsidR="00C52693" w:rsidRPr="00C52693" w:rsidRDefault="00C52693" w:rsidP="00EE084B">
            <w:pPr>
              <w:shd w:val="clear" w:color="auto" w:fill="FFFFFF"/>
              <w:ind w:firstLine="181"/>
              <w:jc w:val="both"/>
              <w:textAlignment w:val="baseline"/>
              <w:rPr>
                <w:rStyle w:val="rvts15"/>
                <w:bCs/>
                <w:color w:val="000000" w:themeColor="text1"/>
                <w:bdr w:val="none" w:sz="0" w:space="0" w:color="auto" w:frame="1"/>
              </w:rPr>
            </w:pPr>
            <w:r w:rsidRPr="00C52693">
              <w:rPr>
                <w:rStyle w:val="rvts15"/>
                <w:bCs/>
                <w:color w:val="000000" w:themeColor="text1"/>
                <w:bdr w:val="none" w:sz="0" w:space="0" w:color="auto" w:frame="1"/>
              </w:rPr>
              <w:t>1.</w:t>
            </w:r>
            <w:r>
              <w:rPr>
                <w:rStyle w:val="rvts15"/>
                <w:bCs/>
                <w:color w:val="000000" w:themeColor="text1"/>
                <w:bdr w:val="none" w:sz="0" w:space="0" w:color="auto" w:frame="1"/>
              </w:rPr>
              <w:t xml:space="preserve"> </w:t>
            </w:r>
            <w:r w:rsidRPr="00C52693">
              <w:rPr>
                <w:rStyle w:val="rvts15"/>
                <w:bCs/>
                <w:color w:val="000000" w:themeColor="text1"/>
                <w:bdr w:val="none" w:sz="0" w:space="0" w:color="auto" w:frame="1"/>
              </w:rPr>
              <w:t>Фондова біржа повинна затвердити порядок котирування цінних паперів та інших фінансових інструментів за технологіями проведення торгів, у тому числі із застосуванням електронної системи торгів, порядок визначення біржового курсу.</w:t>
            </w:r>
          </w:p>
          <w:p w:rsidR="00C52693" w:rsidRDefault="00C52693" w:rsidP="00EE084B">
            <w:pPr>
              <w:ind w:firstLine="181"/>
              <w:jc w:val="both"/>
              <w:rPr>
                <w:rStyle w:val="rvts15"/>
                <w:bCs/>
                <w:color w:val="000000" w:themeColor="text1"/>
                <w:bdr w:val="none" w:sz="0" w:space="0" w:color="auto" w:frame="1"/>
              </w:rPr>
            </w:pPr>
            <w:r>
              <w:rPr>
                <w:rStyle w:val="rvts15"/>
                <w:bCs/>
                <w:color w:val="000000" w:themeColor="text1"/>
                <w:bdr w:val="none" w:sz="0" w:space="0" w:color="auto" w:frame="1"/>
              </w:rPr>
              <w:t>…</w:t>
            </w:r>
          </w:p>
          <w:p w:rsidR="00C52693" w:rsidRDefault="00C52693" w:rsidP="00EE084B">
            <w:pPr>
              <w:ind w:firstLine="181"/>
              <w:jc w:val="both"/>
              <w:rPr>
                <w:rStyle w:val="rvts15"/>
                <w:bCs/>
                <w:color w:val="000000" w:themeColor="text1"/>
                <w:bdr w:val="none" w:sz="0" w:space="0" w:color="auto" w:frame="1"/>
              </w:rPr>
            </w:pPr>
            <w:r w:rsidRPr="00C52693">
              <w:rPr>
                <w:rStyle w:val="rvts15"/>
                <w:bCs/>
                <w:color w:val="000000" w:themeColor="text1"/>
                <w:bdr w:val="none" w:sz="0" w:space="0" w:color="auto" w:frame="1"/>
              </w:rPr>
              <w:t>Біржовий курс цінного папера визначається у порядку, встановленому Комісією. Біржовий курс цінного папера не визначається при первинному розміщенні цінних паперів, за операціями РЕПО, за контрактами (договорами), укладеними на підставі адресних заявок, за контрактами (договорами), укладеними при проведенні торгів з продажу акцій, що належать державі.</w:t>
            </w:r>
          </w:p>
          <w:p w:rsidR="00C52693" w:rsidRPr="00C52693" w:rsidRDefault="00C52693" w:rsidP="00C52693">
            <w:pPr>
              <w:ind w:firstLine="181"/>
              <w:jc w:val="both"/>
              <w:rPr>
                <w:rStyle w:val="rvts15"/>
                <w:b/>
                <w:bCs/>
                <w:color w:val="000000" w:themeColor="text1"/>
                <w:bdr w:val="none" w:sz="0" w:space="0" w:color="auto" w:frame="1"/>
              </w:rPr>
            </w:pPr>
            <w:r w:rsidRPr="00C52693">
              <w:rPr>
                <w:rStyle w:val="rvts15"/>
                <w:b/>
                <w:bCs/>
                <w:color w:val="000000" w:themeColor="text1"/>
                <w:bdr w:val="none" w:sz="0" w:space="0" w:color="auto" w:frame="1"/>
              </w:rPr>
              <w:t>Біржові контракти (договори), які мають ознаки можливого маніпулювання, можуть не використовуватися при розрахунку біржового курсу.</w:t>
            </w:r>
          </w:p>
          <w:p w:rsidR="00C52693" w:rsidRPr="00C52693" w:rsidRDefault="00C52693" w:rsidP="00C52693">
            <w:pPr>
              <w:ind w:firstLine="181"/>
              <w:jc w:val="both"/>
              <w:rPr>
                <w:rStyle w:val="rvts15"/>
                <w:b/>
                <w:bCs/>
                <w:color w:val="000000" w:themeColor="text1"/>
                <w:bdr w:val="none" w:sz="0" w:space="0" w:color="auto" w:frame="1"/>
              </w:rPr>
            </w:pPr>
            <w:r w:rsidRPr="00C52693">
              <w:rPr>
                <w:rStyle w:val="rvts15"/>
                <w:b/>
                <w:bCs/>
                <w:color w:val="000000" w:themeColor="text1"/>
                <w:bdr w:val="none" w:sz="0" w:space="0" w:color="auto" w:frame="1"/>
              </w:rPr>
              <w:t>Біржовий курс цінного папера визначається без урахування біржових контрактів (договорів), у яких центральний контрагент виступає як покупець цінного папера.</w:t>
            </w:r>
          </w:p>
          <w:p w:rsidR="00C52693" w:rsidRDefault="00C52693" w:rsidP="00EE084B">
            <w:pPr>
              <w:ind w:firstLine="181"/>
              <w:jc w:val="both"/>
              <w:rPr>
                <w:rStyle w:val="rvts15"/>
                <w:bCs/>
                <w:color w:val="000000" w:themeColor="text1"/>
                <w:bdr w:val="none" w:sz="0" w:space="0" w:color="auto" w:frame="1"/>
              </w:rPr>
            </w:pPr>
            <w:r w:rsidRPr="00C52693">
              <w:rPr>
                <w:rStyle w:val="rvts15"/>
                <w:bCs/>
                <w:color w:val="000000" w:themeColor="text1"/>
                <w:bdr w:val="none" w:sz="0" w:space="0" w:color="auto" w:frame="1"/>
              </w:rPr>
              <w:t xml:space="preserve">Якщо фондовою біржею установлюються додаткові вимоги щодо </w:t>
            </w:r>
            <w:r w:rsidRPr="00C52693">
              <w:rPr>
                <w:rStyle w:val="rvts15"/>
                <w:bCs/>
                <w:color w:val="000000" w:themeColor="text1"/>
                <w:bdr w:val="none" w:sz="0" w:space="0" w:color="auto" w:frame="1"/>
              </w:rPr>
              <w:lastRenderedPageBreak/>
              <w:t>визначення біржового курсу, такі вимоги погоджуються з Комісією.</w:t>
            </w:r>
          </w:p>
          <w:p w:rsidR="00C52693" w:rsidRDefault="00C52693" w:rsidP="00EE084B">
            <w:pPr>
              <w:ind w:firstLine="181"/>
              <w:jc w:val="both"/>
              <w:rPr>
                <w:rStyle w:val="rvts15"/>
                <w:bCs/>
                <w:color w:val="000000" w:themeColor="text1"/>
                <w:bdr w:val="none" w:sz="0" w:space="0" w:color="auto" w:frame="1"/>
              </w:rPr>
            </w:pPr>
            <w:r>
              <w:rPr>
                <w:rStyle w:val="rvts15"/>
                <w:bCs/>
                <w:color w:val="000000" w:themeColor="text1"/>
                <w:bdr w:val="none" w:sz="0" w:space="0" w:color="auto" w:frame="1"/>
              </w:rPr>
              <w:t>…</w:t>
            </w:r>
          </w:p>
          <w:p w:rsidR="00C52693" w:rsidRPr="00C52693" w:rsidRDefault="00C52693" w:rsidP="00EE084B">
            <w:pPr>
              <w:ind w:firstLine="181"/>
              <w:jc w:val="both"/>
              <w:rPr>
                <w:rStyle w:val="rvts15"/>
                <w:b/>
                <w:bCs/>
                <w:color w:val="000000" w:themeColor="text1"/>
                <w:bdr w:val="none" w:sz="0" w:space="0" w:color="auto" w:frame="1"/>
              </w:rPr>
            </w:pPr>
            <w:r w:rsidRPr="00C52693">
              <w:rPr>
                <w:rStyle w:val="rvts15"/>
                <w:b/>
                <w:bCs/>
                <w:color w:val="000000" w:themeColor="text1"/>
                <w:bdr w:val="none" w:sz="0" w:space="0" w:color="auto" w:frame="1"/>
              </w:rPr>
              <w:t>Інформацію про завершення розрахунків за біржовими контрактами (договорами) фондова біржа отримує від особи, що провадить клірингову діяльність відповідно до Закону України "Про цінні папери та фондовий ринок", та/або Центрального депозитарію цінних паперів, та/або Національного банку України, та/або від учасників біржових торгів про завершення грошових розрахунків за біржовими контрактами (договорами), розрахунки за якими проводяться без дотримання принципу "поставка цінних паперів проти оплати" у випадках, передбачених законодавством.</w:t>
            </w:r>
          </w:p>
        </w:tc>
      </w:tr>
      <w:tr w:rsidR="00C52693" w:rsidRPr="00AA5EF2" w:rsidTr="00904961">
        <w:trPr>
          <w:jc w:val="center"/>
        </w:trPr>
        <w:tc>
          <w:tcPr>
            <w:tcW w:w="7431" w:type="dxa"/>
          </w:tcPr>
          <w:p w:rsidR="00C52693" w:rsidRPr="006D14B6" w:rsidRDefault="006D14B6" w:rsidP="006D14B6">
            <w:pPr>
              <w:shd w:val="clear" w:color="auto" w:fill="FFFFFF"/>
              <w:tabs>
                <w:tab w:val="left" w:pos="7126"/>
              </w:tabs>
              <w:ind w:firstLine="181"/>
              <w:jc w:val="both"/>
              <w:textAlignment w:val="baseline"/>
              <w:rPr>
                <w:rStyle w:val="rvts15"/>
                <w:bCs/>
                <w:color w:val="000000" w:themeColor="text1"/>
                <w:bdr w:val="none" w:sz="0" w:space="0" w:color="auto" w:frame="1"/>
              </w:rPr>
            </w:pPr>
            <w:r w:rsidRPr="006D14B6">
              <w:rPr>
                <w:rStyle w:val="rvts15"/>
                <w:bCs/>
                <w:color w:val="000000" w:themeColor="text1"/>
                <w:bdr w:val="none" w:sz="0" w:space="0" w:color="auto" w:frame="1"/>
              </w:rPr>
              <w:lastRenderedPageBreak/>
              <w:t>2. Біржовий контракт (договір) не може укладатися за заявками, які подає один учасник біржових торгів, за винятком випадків, коли учасник подає заявки на купівлю та продаж цінних паперів та інших фінансових інструментів в інтересах різних його клієнтів або з метою укладання угоди зі своїм клієнтом.</w:t>
            </w:r>
          </w:p>
        </w:tc>
        <w:tc>
          <w:tcPr>
            <w:tcW w:w="7432" w:type="dxa"/>
          </w:tcPr>
          <w:p w:rsidR="00C52693" w:rsidRPr="006D14B6" w:rsidRDefault="006D14B6" w:rsidP="006D14B6">
            <w:pPr>
              <w:pStyle w:val="rvps7"/>
              <w:shd w:val="clear" w:color="auto" w:fill="FFFFFF"/>
              <w:spacing w:before="0" w:beforeAutospacing="0" w:after="0" w:afterAutospacing="0"/>
              <w:ind w:firstLine="181"/>
              <w:jc w:val="both"/>
              <w:textAlignment w:val="baseline"/>
              <w:rPr>
                <w:rStyle w:val="rvts15"/>
                <w:bCs/>
                <w:color w:val="000000" w:themeColor="text1"/>
                <w:lang w:val="uk-UA"/>
              </w:rPr>
            </w:pPr>
            <w:r w:rsidRPr="006D14B6">
              <w:rPr>
                <w:rStyle w:val="rvts15"/>
                <w:bCs/>
                <w:color w:val="000000" w:themeColor="text1"/>
                <w:lang w:val="uk-UA"/>
              </w:rPr>
              <w:t>2. Біржовий контракт (договір) не може укладатися за заявками, які подає один учасник біржових торгів, за винятком випадків, коли учасник подає заявки на купівлю та продаж цінних паперів та інших фінансових інструментів в інтересах різних його клієнтів або з метою укладання угоди зі своїм клієнтом.</w:t>
            </w:r>
          </w:p>
          <w:p w:rsidR="006D14B6" w:rsidRPr="006D14B6" w:rsidRDefault="006D14B6" w:rsidP="006D14B6">
            <w:pPr>
              <w:pStyle w:val="rvps7"/>
              <w:shd w:val="clear" w:color="auto" w:fill="FFFFFF"/>
              <w:spacing w:before="0" w:beforeAutospacing="0" w:after="0" w:afterAutospacing="0"/>
              <w:ind w:firstLine="181"/>
              <w:jc w:val="both"/>
              <w:textAlignment w:val="baseline"/>
              <w:rPr>
                <w:rStyle w:val="rvts15"/>
                <w:b/>
                <w:bCs/>
                <w:color w:val="000000" w:themeColor="text1"/>
                <w:lang w:val="uk-UA"/>
              </w:rPr>
            </w:pPr>
            <w:r w:rsidRPr="006D14B6">
              <w:rPr>
                <w:rStyle w:val="rvts15"/>
                <w:b/>
                <w:bCs/>
                <w:color w:val="000000" w:themeColor="text1"/>
                <w:lang w:val="uk-UA"/>
              </w:rPr>
              <w:t>Біржовий контракт (договір) не може укладатися за заявками, які подають різні учасники біржових торгів в інтересах одного й того самого клієнта.</w:t>
            </w:r>
          </w:p>
        </w:tc>
      </w:tr>
      <w:tr w:rsidR="00C52693" w:rsidRPr="00AA5EF2" w:rsidTr="00904961">
        <w:trPr>
          <w:jc w:val="center"/>
        </w:trPr>
        <w:tc>
          <w:tcPr>
            <w:tcW w:w="7431" w:type="dxa"/>
          </w:tcPr>
          <w:p w:rsidR="00C52693" w:rsidRPr="00DB5A49" w:rsidRDefault="00DB5A49" w:rsidP="00DB5A49">
            <w:pPr>
              <w:shd w:val="clear" w:color="auto" w:fill="FFFFFF"/>
              <w:ind w:firstLine="181"/>
              <w:jc w:val="both"/>
              <w:textAlignment w:val="baseline"/>
              <w:rPr>
                <w:rStyle w:val="rvts15"/>
                <w:bCs/>
                <w:color w:val="000000" w:themeColor="text1"/>
                <w:bdr w:val="none" w:sz="0" w:space="0" w:color="auto" w:frame="1"/>
              </w:rPr>
            </w:pPr>
            <w:r w:rsidRPr="00DB5A49">
              <w:rPr>
                <w:rStyle w:val="rvts15"/>
                <w:bCs/>
                <w:color w:val="000000" w:themeColor="text1"/>
                <w:bdr w:val="none" w:sz="0" w:space="0" w:color="auto" w:frame="1"/>
              </w:rPr>
              <w:t>VII. Порядок здійснення на фондових біржах операцій РЕПО</w:t>
            </w:r>
          </w:p>
          <w:p w:rsidR="00DB5A49" w:rsidRPr="00DB5A49" w:rsidRDefault="00DB5A49" w:rsidP="00DB5A49">
            <w:pPr>
              <w:shd w:val="clear" w:color="auto" w:fill="FFFFFF"/>
              <w:ind w:firstLine="181"/>
              <w:jc w:val="both"/>
              <w:textAlignment w:val="baseline"/>
              <w:rPr>
                <w:rStyle w:val="rvts15"/>
                <w:b/>
                <w:bCs/>
                <w:strike/>
                <w:color w:val="000000" w:themeColor="text1"/>
                <w:bdr w:val="none" w:sz="0" w:space="0" w:color="auto" w:frame="1"/>
              </w:rPr>
            </w:pPr>
            <w:r w:rsidRPr="00DB5A49">
              <w:rPr>
                <w:rStyle w:val="rvts15"/>
                <w:b/>
                <w:bCs/>
                <w:strike/>
                <w:color w:val="000000" w:themeColor="text1"/>
                <w:bdr w:val="none" w:sz="0" w:space="0" w:color="auto" w:frame="1"/>
              </w:rPr>
              <w:t>18. Біржові контракти (договори), укладені на фондовій біржі за операціями РЕПО, виконуються за принципом "поставка цінних паперів проти оплати", який реалізується відповідно до законодавства.</w:t>
            </w:r>
          </w:p>
        </w:tc>
        <w:tc>
          <w:tcPr>
            <w:tcW w:w="7432" w:type="dxa"/>
          </w:tcPr>
          <w:p w:rsidR="00C52693" w:rsidRDefault="00DB5A49" w:rsidP="00DB5A49">
            <w:pPr>
              <w:pStyle w:val="rvps7"/>
              <w:shd w:val="clear" w:color="auto" w:fill="FFFFFF"/>
              <w:spacing w:before="0" w:beforeAutospacing="0" w:after="0" w:afterAutospacing="0"/>
              <w:ind w:firstLine="181"/>
              <w:jc w:val="both"/>
              <w:textAlignment w:val="baseline"/>
              <w:rPr>
                <w:rStyle w:val="rvts15"/>
                <w:b/>
                <w:bCs/>
                <w:color w:val="000000" w:themeColor="text1"/>
                <w:lang w:val="uk-UA"/>
              </w:rPr>
            </w:pPr>
            <w:r w:rsidRPr="00DB5A49">
              <w:rPr>
                <w:rStyle w:val="rvts15"/>
                <w:b/>
                <w:bCs/>
                <w:color w:val="000000" w:themeColor="text1"/>
                <w:lang w:val="uk-UA"/>
              </w:rPr>
              <w:t>VII. Порядок здійснення на фондових біржах операцій РЕПО</w:t>
            </w:r>
          </w:p>
          <w:p w:rsidR="00DB5A49" w:rsidRPr="00AA5EF2" w:rsidRDefault="00DB5A49" w:rsidP="00DB5A49">
            <w:pPr>
              <w:pStyle w:val="rvps7"/>
              <w:shd w:val="clear" w:color="auto" w:fill="FFFFFF"/>
              <w:spacing w:before="0" w:beforeAutospacing="0" w:after="0" w:afterAutospacing="0"/>
              <w:ind w:firstLine="181"/>
              <w:jc w:val="both"/>
              <w:textAlignment w:val="baseline"/>
              <w:rPr>
                <w:rStyle w:val="rvts15"/>
                <w:b/>
                <w:bCs/>
                <w:color w:val="000000" w:themeColor="text1"/>
                <w:lang w:val="uk-UA"/>
              </w:rPr>
            </w:pPr>
            <w:r>
              <w:rPr>
                <w:rStyle w:val="rvts15"/>
                <w:b/>
                <w:bCs/>
                <w:color w:val="000000" w:themeColor="text1"/>
                <w:lang w:val="uk-UA"/>
              </w:rPr>
              <w:t>Виключити</w:t>
            </w:r>
          </w:p>
        </w:tc>
      </w:tr>
      <w:tr w:rsidR="00DB5A49" w:rsidRPr="00AA5EF2" w:rsidTr="00904961">
        <w:trPr>
          <w:jc w:val="center"/>
        </w:trPr>
        <w:tc>
          <w:tcPr>
            <w:tcW w:w="7431" w:type="dxa"/>
          </w:tcPr>
          <w:p w:rsidR="00DB5A49" w:rsidRPr="00DB5A49" w:rsidRDefault="00DB5A49" w:rsidP="00DB5A49">
            <w:pPr>
              <w:shd w:val="clear" w:color="auto" w:fill="FFFFFF"/>
              <w:tabs>
                <w:tab w:val="left" w:pos="7126"/>
              </w:tabs>
              <w:ind w:right="91" w:firstLine="181"/>
              <w:jc w:val="both"/>
              <w:textAlignment w:val="baseline"/>
              <w:rPr>
                <w:rStyle w:val="rvts15"/>
                <w:bCs/>
                <w:color w:val="000000" w:themeColor="text1"/>
                <w:bdr w:val="none" w:sz="0" w:space="0" w:color="auto" w:frame="1"/>
              </w:rPr>
            </w:pPr>
            <w:r w:rsidRPr="00DB5A49">
              <w:rPr>
                <w:rStyle w:val="rvts15"/>
                <w:bCs/>
                <w:color w:val="000000" w:themeColor="text1"/>
                <w:bdr w:val="none" w:sz="0" w:space="0" w:color="auto" w:frame="1"/>
              </w:rPr>
              <w:t>VIII. Розкриття інформації про діяльність фондової біржі та її оприлюднення</w:t>
            </w:r>
          </w:p>
          <w:p w:rsidR="00DB5A49" w:rsidRPr="00DB5A49" w:rsidRDefault="00DB5A49" w:rsidP="00DB5A49">
            <w:pPr>
              <w:shd w:val="clear" w:color="auto" w:fill="FFFFFF"/>
              <w:tabs>
                <w:tab w:val="left" w:pos="7126"/>
              </w:tabs>
              <w:ind w:right="91" w:firstLine="181"/>
              <w:jc w:val="both"/>
              <w:textAlignment w:val="baseline"/>
              <w:rPr>
                <w:rStyle w:val="rvts15"/>
                <w:bCs/>
                <w:color w:val="000000" w:themeColor="text1"/>
                <w:bdr w:val="none" w:sz="0" w:space="0" w:color="auto" w:frame="1"/>
              </w:rPr>
            </w:pPr>
            <w:r w:rsidRPr="00DB5A49">
              <w:rPr>
                <w:rStyle w:val="rvts15"/>
                <w:bCs/>
                <w:color w:val="000000" w:themeColor="text1"/>
                <w:bdr w:val="none" w:sz="0" w:space="0" w:color="auto" w:frame="1"/>
              </w:rPr>
              <w:t>6. Фондові біржі здійснюють взаємний обмін інформацією щодо:</w:t>
            </w:r>
          </w:p>
          <w:p w:rsidR="00DB5A49" w:rsidRDefault="00DB5A49" w:rsidP="00DB5A49">
            <w:pPr>
              <w:shd w:val="clear" w:color="auto" w:fill="FFFFFF"/>
              <w:tabs>
                <w:tab w:val="left" w:pos="7126"/>
              </w:tabs>
              <w:ind w:right="91" w:firstLine="181"/>
              <w:jc w:val="both"/>
              <w:textAlignment w:val="baseline"/>
              <w:rPr>
                <w:rStyle w:val="rvts15"/>
                <w:bCs/>
                <w:color w:val="000000" w:themeColor="text1"/>
                <w:bdr w:val="none" w:sz="0" w:space="0" w:color="auto" w:frame="1"/>
              </w:rPr>
            </w:pPr>
            <w:r w:rsidRPr="00DB5A49">
              <w:rPr>
                <w:rStyle w:val="rvts15"/>
                <w:bCs/>
                <w:color w:val="000000" w:themeColor="text1"/>
                <w:bdr w:val="none" w:sz="0" w:space="0" w:color="auto" w:frame="1"/>
              </w:rPr>
              <w:t xml:space="preserve">унесення та перебування цінних паперів та інших фінансових інструментів у біржовому списку, </w:t>
            </w:r>
            <w:r w:rsidRPr="00DB5A49">
              <w:rPr>
                <w:rStyle w:val="rvts15"/>
                <w:b/>
                <w:bCs/>
                <w:strike/>
                <w:color w:val="000000" w:themeColor="text1"/>
                <w:bdr w:val="none" w:sz="0" w:space="0" w:color="auto" w:frame="1"/>
              </w:rPr>
              <w:t>у тому числі перебування цінних паперів та інших фінансових інструментів у біржовому списку понад 30 календарних днів</w:t>
            </w:r>
            <w:r w:rsidRPr="00DB5A49">
              <w:rPr>
                <w:rStyle w:val="rvts15"/>
                <w:bCs/>
                <w:color w:val="000000" w:themeColor="text1"/>
                <w:bdr w:val="none" w:sz="0" w:space="0" w:color="auto" w:frame="1"/>
              </w:rPr>
              <w:t xml:space="preserve"> (найменування емітента, вид цінних паперів та інших фінансових інструментів, кількість цінних паперів та інших фінансових інструментів, номінальна вартість, дата останніх торгів за даним цінним папером та іншим фінансовим </w:t>
            </w:r>
            <w:r w:rsidRPr="00DB5A49">
              <w:rPr>
                <w:rStyle w:val="rvts15"/>
                <w:bCs/>
                <w:color w:val="000000" w:themeColor="text1"/>
                <w:bdr w:val="none" w:sz="0" w:space="0" w:color="auto" w:frame="1"/>
              </w:rPr>
              <w:lastRenderedPageBreak/>
              <w:t>інструментом, ціна закриття за даним цінним папером та іншим фінансовим інструментом за результатами останньої торговельної сесії);</w:t>
            </w:r>
          </w:p>
          <w:p w:rsidR="00DB5A49" w:rsidRPr="00DB5A49" w:rsidRDefault="00DB5A49" w:rsidP="00DB5A49">
            <w:pPr>
              <w:shd w:val="clear" w:color="auto" w:fill="FFFFFF"/>
              <w:tabs>
                <w:tab w:val="left" w:pos="7126"/>
              </w:tabs>
              <w:ind w:right="91" w:firstLine="181"/>
              <w:jc w:val="both"/>
              <w:textAlignment w:val="baseline"/>
              <w:rPr>
                <w:rStyle w:val="rvts15"/>
                <w:bCs/>
                <w:color w:val="000000" w:themeColor="text1"/>
                <w:bdr w:val="none" w:sz="0" w:space="0" w:color="auto" w:frame="1"/>
              </w:rPr>
            </w:pPr>
            <w:r>
              <w:rPr>
                <w:rStyle w:val="rvts15"/>
                <w:bCs/>
                <w:color w:val="000000" w:themeColor="text1"/>
                <w:bdr w:val="none" w:sz="0" w:space="0" w:color="auto" w:frame="1"/>
              </w:rPr>
              <w:t>…</w:t>
            </w:r>
          </w:p>
        </w:tc>
        <w:tc>
          <w:tcPr>
            <w:tcW w:w="7432" w:type="dxa"/>
          </w:tcPr>
          <w:p w:rsidR="00DB5A49" w:rsidRPr="00DB5A49" w:rsidRDefault="00DB5A49" w:rsidP="00EE084B">
            <w:pPr>
              <w:shd w:val="clear" w:color="auto" w:fill="FFFFFF"/>
              <w:tabs>
                <w:tab w:val="left" w:pos="7126"/>
              </w:tabs>
              <w:ind w:right="91" w:firstLine="181"/>
              <w:jc w:val="both"/>
              <w:textAlignment w:val="baseline"/>
              <w:rPr>
                <w:rStyle w:val="rvts15"/>
                <w:bCs/>
                <w:color w:val="000000" w:themeColor="text1"/>
                <w:bdr w:val="none" w:sz="0" w:space="0" w:color="auto" w:frame="1"/>
              </w:rPr>
            </w:pPr>
            <w:r w:rsidRPr="00DB5A49">
              <w:rPr>
                <w:rStyle w:val="rvts15"/>
                <w:bCs/>
                <w:color w:val="000000" w:themeColor="text1"/>
                <w:bdr w:val="none" w:sz="0" w:space="0" w:color="auto" w:frame="1"/>
              </w:rPr>
              <w:lastRenderedPageBreak/>
              <w:t>VIII. Розкриття інформації про діяльність фондової біржі та її оприлюднення</w:t>
            </w:r>
          </w:p>
          <w:p w:rsidR="00DB5A49" w:rsidRPr="00DB5A49" w:rsidRDefault="00DB5A49" w:rsidP="00EE084B">
            <w:pPr>
              <w:shd w:val="clear" w:color="auto" w:fill="FFFFFF"/>
              <w:tabs>
                <w:tab w:val="left" w:pos="7126"/>
              </w:tabs>
              <w:ind w:right="91" w:firstLine="181"/>
              <w:jc w:val="both"/>
              <w:textAlignment w:val="baseline"/>
              <w:rPr>
                <w:rStyle w:val="rvts15"/>
                <w:bCs/>
                <w:color w:val="000000" w:themeColor="text1"/>
                <w:bdr w:val="none" w:sz="0" w:space="0" w:color="auto" w:frame="1"/>
              </w:rPr>
            </w:pPr>
            <w:r w:rsidRPr="00DB5A49">
              <w:rPr>
                <w:rStyle w:val="rvts15"/>
                <w:bCs/>
                <w:color w:val="000000" w:themeColor="text1"/>
                <w:bdr w:val="none" w:sz="0" w:space="0" w:color="auto" w:frame="1"/>
              </w:rPr>
              <w:t>6. Фондові біржі здійснюють взаємний обмін інформацією щодо:</w:t>
            </w:r>
          </w:p>
          <w:p w:rsidR="00DB5A49" w:rsidRDefault="00DB5A49" w:rsidP="00EE084B">
            <w:pPr>
              <w:shd w:val="clear" w:color="auto" w:fill="FFFFFF"/>
              <w:tabs>
                <w:tab w:val="left" w:pos="7126"/>
              </w:tabs>
              <w:ind w:right="91" w:firstLine="181"/>
              <w:jc w:val="both"/>
              <w:textAlignment w:val="baseline"/>
              <w:rPr>
                <w:rStyle w:val="rvts15"/>
                <w:bCs/>
                <w:color w:val="000000" w:themeColor="text1"/>
                <w:bdr w:val="none" w:sz="0" w:space="0" w:color="auto" w:frame="1"/>
              </w:rPr>
            </w:pPr>
            <w:r w:rsidRPr="00DB5A49">
              <w:rPr>
                <w:rStyle w:val="rvts15"/>
                <w:bCs/>
                <w:color w:val="000000" w:themeColor="text1"/>
                <w:bdr w:val="none" w:sz="0" w:space="0" w:color="auto" w:frame="1"/>
              </w:rPr>
              <w:t xml:space="preserve">унесення та перебування цінних паперів та інших фінансових </w:t>
            </w:r>
            <w:r>
              <w:rPr>
                <w:rStyle w:val="rvts15"/>
                <w:bCs/>
                <w:color w:val="000000" w:themeColor="text1"/>
                <w:bdr w:val="none" w:sz="0" w:space="0" w:color="auto" w:frame="1"/>
              </w:rPr>
              <w:t>інструментів у біржовому списку</w:t>
            </w:r>
            <w:r w:rsidRPr="00DB5A49">
              <w:rPr>
                <w:rStyle w:val="rvts15"/>
                <w:bCs/>
                <w:color w:val="000000" w:themeColor="text1"/>
                <w:bdr w:val="none" w:sz="0" w:space="0" w:color="auto" w:frame="1"/>
              </w:rPr>
              <w:t xml:space="preserve"> (найменування емітента, вид цінних паперів та інших фінансових інструментів, кількість цінних паперів та інших фінансових інструментів, номінальна вартість, дата останніх торгів за даним цінним папером та іншим фінансовим інструментом, ціна закриття за даним цінним папером та іншим фінансовим інструментом за результатами останньої торговельної </w:t>
            </w:r>
            <w:r w:rsidRPr="00DB5A49">
              <w:rPr>
                <w:rStyle w:val="rvts15"/>
                <w:bCs/>
                <w:color w:val="000000" w:themeColor="text1"/>
                <w:bdr w:val="none" w:sz="0" w:space="0" w:color="auto" w:frame="1"/>
              </w:rPr>
              <w:lastRenderedPageBreak/>
              <w:t>сесії);</w:t>
            </w:r>
          </w:p>
          <w:p w:rsidR="00DB5A49" w:rsidRPr="00DB5A49" w:rsidRDefault="00DB5A49" w:rsidP="00EE084B">
            <w:pPr>
              <w:shd w:val="clear" w:color="auto" w:fill="FFFFFF"/>
              <w:tabs>
                <w:tab w:val="left" w:pos="7126"/>
              </w:tabs>
              <w:ind w:right="91" w:firstLine="181"/>
              <w:jc w:val="both"/>
              <w:textAlignment w:val="baseline"/>
              <w:rPr>
                <w:rStyle w:val="rvts15"/>
                <w:bCs/>
                <w:color w:val="000000" w:themeColor="text1"/>
                <w:bdr w:val="none" w:sz="0" w:space="0" w:color="auto" w:frame="1"/>
              </w:rPr>
            </w:pPr>
            <w:r>
              <w:rPr>
                <w:rStyle w:val="rvts15"/>
                <w:bCs/>
                <w:color w:val="000000" w:themeColor="text1"/>
                <w:bdr w:val="none" w:sz="0" w:space="0" w:color="auto" w:frame="1"/>
              </w:rPr>
              <w:t>…</w:t>
            </w:r>
          </w:p>
        </w:tc>
      </w:tr>
      <w:tr w:rsidR="00DB5A49" w:rsidRPr="00AA5EF2" w:rsidTr="00904961">
        <w:trPr>
          <w:jc w:val="center"/>
        </w:trPr>
        <w:tc>
          <w:tcPr>
            <w:tcW w:w="7431" w:type="dxa"/>
          </w:tcPr>
          <w:p w:rsidR="00DB5A49" w:rsidRPr="005A2F82" w:rsidRDefault="005A2F82" w:rsidP="005A2F82">
            <w:pPr>
              <w:shd w:val="clear" w:color="auto" w:fill="FFFFFF"/>
              <w:tabs>
                <w:tab w:val="left" w:pos="7215"/>
              </w:tabs>
              <w:ind w:right="89" w:firstLine="181"/>
              <w:textAlignment w:val="baseline"/>
              <w:rPr>
                <w:rStyle w:val="rvts15"/>
                <w:bCs/>
                <w:color w:val="000000" w:themeColor="text1"/>
                <w:bdr w:val="none" w:sz="0" w:space="0" w:color="auto" w:frame="1"/>
              </w:rPr>
            </w:pPr>
            <w:r w:rsidRPr="005A2F82">
              <w:rPr>
                <w:rStyle w:val="rvts15"/>
                <w:bCs/>
                <w:color w:val="000000" w:themeColor="text1"/>
                <w:bdr w:val="none" w:sz="0" w:space="0" w:color="auto" w:frame="1"/>
              </w:rPr>
              <w:lastRenderedPageBreak/>
              <w:t xml:space="preserve">8. Обмін інформацією між фондовими біржами здійснюється, </w:t>
            </w:r>
            <w:r w:rsidRPr="005A2F82">
              <w:rPr>
                <w:rStyle w:val="rvts15"/>
                <w:b/>
                <w:bCs/>
                <w:strike/>
                <w:color w:val="000000" w:themeColor="text1"/>
                <w:bdr w:val="none" w:sz="0" w:space="0" w:color="auto" w:frame="1"/>
              </w:rPr>
              <w:t>як правило,</w:t>
            </w:r>
            <w:r w:rsidRPr="005A2F82">
              <w:rPr>
                <w:rStyle w:val="rvts15"/>
                <w:b/>
                <w:bCs/>
                <w:color w:val="000000" w:themeColor="text1"/>
                <w:bdr w:val="none" w:sz="0" w:space="0" w:color="auto" w:frame="1"/>
              </w:rPr>
              <w:t xml:space="preserve"> </w:t>
            </w:r>
            <w:r w:rsidRPr="005A2F82">
              <w:rPr>
                <w:rStyle w:val="rvts15"/>
                <w:bCs/>
                <w:color w:val="000000" w:themeColor="text1"/>
                <w:bdr w:val="none" w:sz="0" w:space="0" w:color="auto" w:frame="1"/>
              </w:rPr>
              <w:t>щоденно.</w:t>
            </w:r>
          </w:p>
        </w:tc>
        <w:tc>
          <w:tcPr>
            <w:tcW w:w="7432" w:type="dxa"/>
          </w:tcPr>
          <w:p w:rsidR="00DB5A49" w:rsidRPr="005A2F82" w:rsidRDefault="005A2F82" w:rsidP="00DB5A49">
            <w:pPr>
              <w:pStyle w:val="rvps7"/>
              <w:shd w:val="clear" w:color="auto" w:fill="FFFFFF"/>
              <w:tabs>
                <w:tab w:val="left" w:pos="7126"/>
              </w:tabs>
              <w:spacing w:before="0" w:beforeAutospacing="0" w:after="0" w:afterAutospacing="0"/>
              <w:ind w:right="89" w:firstLine="181"/>
              <w:jc w:val="both"/>
              <w:textAlignment w:val="baseline"/>
              <w:rPr>
                <w:rStyle w:val="rvts15"/>
                <w:bCs/>
                <w:color w:val="000000" w:themeColor="text1"/>
                <w:lang w:val="uk-UA"/>
              </w:rPr>
            </w:pPr>
            <w:r w:rsidRPr="005A2F82">
              <w:rPr>
                <w:rStyle w:val="rvts15"/>
                <w:bCs/>
                <w:color w:val="000000" w:themeColor="text1"/>
                <w:lang w:val="uk-UA"/>
              </w:rPr>
              <w:t>8. Обмін інформацією між фондовими біржами здійснюється щодня.</w:t>
            </w:r>
          </w:p>
        </w:tc>
      </w:tr>
      <w:tr w:rsidR="00DB5A49" w:rsidRPr="00AA5EF2" w:rsidTr="00904961">
        <w:trPr>
          <w:jc w:val="center"/>
        </w:trPr>
        <w:tc>
          <w:tcPr>
            <w:tcW w:w="7431" w:type="dxa"/>
          </w:tcPr>
          <w:p w:rsidR="005A2F82" w:rsidRPr="005A2F82" w:rsidRDefault="005A2F82" w:rsidP="005A2F82">
            <w:pPr>
              <w:shd w:val="clear" w:color="auto" w:fill="FFFFFF"/>
              <w:tabs>
                <w:tab w:val="left" w:pos="7215"/>
              </w:tabs>
              <w:ind w:firstLine="181"/>
              <w:jc w:val="both"/>
              <w:textAlignment w:val="baseline"/>
              <w:rPr>
                <w:rStyle w:val="rvts15"/>
                <w:b/>
                <w:bCs/>
                <w:strike/>
                <w:color w:val="000000" w:themeColor="text1"/>
                <w:bdr w:val="none" w:sz="0" w:space="0" w:color="auto" w:frame="1"/>
              </w:rPr>
            </w:pPr>
            <w:r w:rsidRPr="005A2F82">
              <w:rPr>
                <w:rStyle w:val="rvts15"/>
                <w:b/>
                <w:bCs/>
                <w:strike/>
                <w:color w:val="000000" w:themeColor="text1"/>
                <w:bdr w:val="none" w:sz="0" w:space="0" w:color="auto" w:frame="1"/>
              </w:rPr>
              <w:t>XI. Вимоги до проведення заходів з фінансового моніторингу</w:t>
            </w:r>
          </w:p>
          <w:p w:rsidR="005A2F82" w:rsidRPr="005A2F82" w:rsidRDefault="005A2F82" w:rsidP="005A2F82">
            <w:pPr>
              <w:shd w:val="clear" w:color="auto" w:fill="FFFFFF"/>
              <w:tabs>
                <w:tab w:val="left" w:pos="7215"/>
              </w:tabs>
              <w:ind w:firstLine="181"/>
              <w:jc w:val="both"/>
              <w:textAlignment w:val="baseline"/>
              <w:rPr>
                <w:rStyle w:val="rvts15"/>
                <w:b/>
                <w:bCs/>
                <w:strike/>
                <w:color w:val="000000" w:themeColor="text1"/>
                <w:bdr w:val="none" w:sz="0" w:space="0" w:color="auto" w:frame="1"/>
              </w:rPr>
            </w:pPr>
            <w:r w:rsidRPr="005A2F82">
              <w:rPr>
                <w:rStyle w:val="rvts15"/>
                <w:b/>
                <w:bCs/>
                <w:strike/>
                <w:color w:val="000000" w:themeColor="text1"/>
                <w:bdr w:val="none" w:sz="0" w:space="0" w:color="auto" w:frame="1"/>
              </w:rPr>
              <w:t>1. Фондова біржа зобов'язана розробити і затвердити правила проведення фінансового моніторингу та програми його здійснення з урахуванням вимог законодавства України у сфері запобігання та протидії легалізації (відмиванню) доходів, одержаних злочинним шляхом, або фінансуванню тероризму.</w:t>
            </w:r>
          </w:p>
          <w:p w:rsidR="005A2F82" w:rsidRPr="005A2F82" w:rsidRDefault="005A2F82" w:rsidP="005A2F82">
            <w:pPr>
              <w:shd w:val="clear" w:color="auto" w:fill="FFFFFF"/>
              <w:tabs>
                <w:tab w:val="left" w:pos="7215"/>
              </w:tabs>
              <w:ind w:firstLine="181"/>
              <w:jc w:val="both"/>
              <w:textAlignment w:val="baseline"/>
              <w:rPr>
                <w:rStyle w:val="rvts15"/>
                <w:b/>
                <w:bCs/>
                <w:strike/>
                <w:color w:val="000000" w:themeColor="text1"/>
                <w:bdr w:val="none" w:sz="0" w:space="0" w:color="auto" w:frame="1"/>
              </w:rPr>
            </w:pPr>
            <w:r w:rsidRPr="005A2F82">
              <w:rPr>
                <w:rStyle w:val="rvts15"/>
                <w:b/>
                <w:bCs/>
                <w:strike/>
                <w:color w:val="000000" w:themeColor="text1"/>
                <w:bdr w:val="none" w:sz="0" w:space="0" w:color="auto" w:frame="1"/>
              </w:rPr>
              <w:t>2. Фондова біржа призначає працівника, відповідального за проведення фінансового моніторингу. Призначення відповідального працівника, визначення його прав та обов'язків, повідомлення про його призначення здійснюються відповідно до вимог законодавства України.</w:t>
            </w:r>
          </w:p>
          <w:p w:rsidR="005A2F82" w:rsidRPr="005A2F82" w:rsidRDefault="005A2F82" w:rsidP="005A2F82">
            <w:pPr>
              <w:shd w:val="clear" w:color="auto" w:fill="FFFFFF"/>
              <w:tabs>
                <w:tab w:val="left" w:pos="7215"/>
              </w:tabs>
              <w:ind w:firstLine="181"/>
              <w:jc w:val="both"/>
              <w:textAlignment w:val="baseline"/>
              <w:rPr>
                <w:rStyle w:val="rvts15"/>
                <w:b/>
                <w:bCs/>
                <w:strike/>
                <w:color w:val="000000" w:themeColor="text1"/>
                <w:bdr w:val="none" w:sz="0" w:space="0" w:color="auto" w:frame="1"/>
              </w:rPr>
            </w:pPr>
            <w:r w:rsidRPr="005A2F82">
              <w:rPr>
                <w:rStyle w:val="rvts15"/>
                <w:b/>
                <w:bCs/>
                <w:strike/>
                <w:color w:val="000000" w:themeColor="text1"/>
                <w:bdr w:val="none" w:sz="0" w:space="0" w:color="auto" w:frame="1"/>
              </w:rPr>
              <w:t xml:space="preserve">3. Протягом трьох робочих днів з дати призначення відповідального працівника, але не пізніше дня проведення першої фінансової операції фондова біржа подає </w:t>
            </w:r>
            <w:proofErr w:type="spellStart"/>
            <w:r w:rsidRPr="005A2F82">
              <w:rPr>
                <w:rStyle w:val="rvts15"/>
                <w:b/>
                <w:bCs/>
                <w:strike/>
                <w:color w:val="000000" w:themeColor="text1"/>
                <w:bdr w:val="none" w:sz="0" w:space="0" w:color="auto" w:frame="1"/>
              </w:rPr>
              <w:t>Держфінмоніторингу</w:t>
            </w:r>
            <w:proofErr w:type="spellEnd"/>
            <w:r w:rsidRPr="005A2F82">
              <w:rPr>
                <w:rStyle w:val="rvts15"/>
                <w:b/>
                <w:bCs/>
                <w:strike/>
                <w:color w:val="000000" w:themeColor="text1"/>
                <w:bdr w:val="none" w:sz="0" w:space="0" w:color="auto" w:frame="1"/>
              </w:rPr>
              <w:t xml:space="preserve"> України інформацію, необхідну для взяття її на облік, та повинна протягом трьох робочих днів подавати зміни до поданої при постановці на облік інформації у разі їх виникнення.</w:t>
            </w:r>
          </w:p>
          <w:p w:rsidR="005A2F82" w:rsidRPr="005A2F82" w:rsidRDefault="005A2F82" w:rsidP="005A2F82">
            <w:pPr>
              <w:shd w:val="clear" w:color="auto" w:fill="FFFFFF"/>
              <w:tabs>
                <w:tab w:val="left" w:pos="7215"/>
              </w:tabs>
              <w:ind w:firstLine="181"/>
              <w:jc w:val="both"/>
              <w:textAlignment w:val="baseline"/>
              <w:rPr>
                <w:rStyle w:val="rvts15"/>
                <w:b/>
                <w:bCs/>
                <w:strike/>
                <w:color w:val="000000" w:themeColor="text1"/>
                <w:bdr w:val="none" w:sz="0" w:space="0" w:color="auto" w:frame="1"/>
              </w:rPr>
            </w:pPr>
            <w:r w:rsidRPr="005A2F82">
              <w:rPr>
                <w:rStyle w:val="rvts15"/>
                <w:b/>
                <w:bCs/>
                <w:strike/>
                <w:color w:val="000000" w:themeColor="text1"/>
                <w:bdr w:val="none" w:sz="0" w:space="0" w:color="auto" w:frame="1"/>
              </w:rPr>
              <w:t xml:space="preserve">Фондова біржа подає </w:t>
            </w:r>
            <w:proofErr w:type="spellStart"/>
            <w:r w:rsidRPr="005A2F82">
              <w:rPr>
                <w:rStyle w:val="rvts15"/>
                <w:b/>
                <w:bCs/>
                <w:strike/>
                <w:color w:val="000000" w:themeColor="text1"/>
                <w:bdr w:val="none" w:sz="0" w:space="0" w:color="auto" w:frame="1"/>
              </w:rPr>
              <w:t>Держфінмоніторингу</w:t>
            </w:r>
            <w:proofErr w:type="spellEnd"/>
            <w:r w:rsidRPr="005A2F82">
              <w:rPr>
                <w:rStyle w:val="rvts15"/>
                <w:b/>
                <w:bCs/>
                <w:strike/>
                <w:color w:val="000000" w:themeColor="text1"/>
                <w:bdr w:val="none" w:sz="0" w:space="0" w:color="auto" w:frame="1"/>
              </w:rPr>
              <w:t xml:space="preserve"> України інформацію для постановки на облік у порядку, встановленому законодавством України.</w:t>
            </w:r>
          </w:p>
          <w:p w:rsidR="005A2F82" w:rsidRPr="005A2F82" w:rsidRDefault="005A2F82" w:rsidP="005A2F82">
            <w:pPr>
              <w:shd w:val="clear" w:color="auto" w:fill="FFFFFF"/>
              <w:tabs>
                <w:tab w:val="left" w:pos="7215"/>
              </w:tabs>
              <w:ind w:firstLine="181"/>
              <w:jc w:val="both"/>
              <w:textAlignment w:val="baseline"/>
              <w:rPr>
                <w:rStyle w:val="rvts15"/>
                <w:b/>
                <w:bCs/>
                <w:strike/>
                <w:color w:val="000000" w:themeColor="text1"/>
                <w:bdr w:val="none" w:sz="0" w:space="0" w:color="auto" w:frame="1"/>
              </w:rPr>
            </w:pPr>
            <w:r w:rsidRPr="005A2F82">
              <w:rPr>
                <w:rStyle w:val="rvts15"/>
                <w:b/>
                <w:bCs/>
                <w:strike/>
                <w:color w:val="000000" w:themeColor="text1"/>
                <w:bdr w:val="none" w:sz="0" w:space="0" w:color="auto" w:frame="1"/>
              </w:rPr>
              <w:t>Примірник (копія) відповідної форми зберігається фондовою біржею разом з повідомленням про результати її обробки протягом п'яти років.</w:t>
            </w:r>
          </w:p>
          <w:p w:rsidR="005A2F82" w:rsidRPr="005A2F82" w:rsidRDefault="005A2F82" w:rsidP="005A2F82">
            <w:pPr>
              <w:shd w:val="clear" w:color="auto" w:fill="FFFFFF"/>
              <w:tabs>
                <w:tab w:val="left" w:pos="7215"/>
              </w:tabs>
              <w:ind w:firstLine="181"/>
              <w:jc w:val="both"/>
              <w:textAlignment w:val="baseline"/>
              <w:rPr>
                <w:rStyle w:val="rvts15"/>
                <w:b/>
                <w:bCs/>
                <w:strike/>
                <w:color w:val="000000" w:themeColor="text1"/>
                <w:bdr w:val="none" w:sz="0" w:space="0" w:color="auto" w:frame="1"/>
              </w:rPr>
            </w:pPr>
            <w:r w:rsidRPr="005A2F82">
              <w:rPr>
                <w:rStyle w:val="rvts15"/>
                <w:b/>
                <w:bCs/>
                <w:strike/>
                <w:color w:val="000000" w:themeColor="text1"/>
                <w:bdr w:val="none" w:sz="0" w:space="0" w:color="auto" w:frame="1"/>
              </w:rPr>
              <w:t xml:space="preserve">4. Фондова біржа зобов'язана здійснювати заходи, спрямовані на виявлення фінансових операцій, що відповідно до вимог законодавства України підлягають фінансовому моніторингу, та проводити їх реєстрацію відповідно до вимог законодавства. Фондова біржа відповідно до вимог законодавства зобов'язана </w:t>
            </w:r>
            <w:r w:rsidRPr="005A2F82">
              <w:rPr>
                <w:rStyle w:val="rvts15"/>
                <w:b/>
                <w:bCs/>
                <w:strike/>
                <w:color w:val="000000" w:themeColor="text1"/>
                <w:bdr w:val="none" w:sz="0" w:space="0" w:color="auto" w:frame="1"/>
              </w:rPr>
              <w:lastRenderedPageBreak/>
              <w:t xml:space="preserve">проводити ідентифікацію особи, яка здійснює фінансову операцію, що підлягає фінансовому моніторингу, а також особи, від імені якої здійснюється фінансова операція або яка є </w:t>
            </w:r>
            <w:proofErr w:type="spellStart"/>
            <w:r w:rsidRPr="005A2F82">
              <w:rPr>
                <w:rStyle w:val="rvts15"/>
                <w:b/>
                <w:bCs/>
                <w:strike/>
                <w:color w:val="000000" w:themeColor="text1"/>
                <w:bdr w:val="none" w:sz="0" w:space="0" w:color="auto" w:frame="1"/>
              </w:rPr>
              <w:t>вигодоодержувачем</w:t>
            </w:r>
            <w:proofErr w:type="spellEnd"/>
            <w:r w:rsidRPr="005A2F82">
              <w:rPr>
                <w:rStyle w:val="rvts15"/>
                <w:b/>
                <w:bCs/>
                <w:strike/>
                <w:color w:val="000000" w:themeColor="text1"/>
                <w:bdr w:val="none" w:sz="0" w:space="0" w:color="auto" w:frame="1"/>
              </w:rPr>
              <w:t>.</w:t>
            </w:r>
          </w:p>
          <w:p w:rsidR="005A2F82" w:rsidRPr="005A2F82" w:rsidRDefault="005A2F82" w:rsidP="005A2F82">
            <w:pPr>
              <w:shd w:val="clear" w:color="auto" w:fill="FFFFFF"/>
              <w:tabs>
                <w:tab w:val="left" w:pos="7215"/>
              </w:tabs>
              <w:ind w:firstLine="181"/>
              <w:jc w:val="both"/>
              <w:textAlignment w:val="baseline"/>
              <w:rPr>
                <w:rStyle w:val="rvts15"/>
                <w:b/>
                <w:bCs/>
                <w:strike/>
                <w:color w:val="000000" w:themeColor="text1"/>
                <w:bdr w:val="none" w:sz="0" w:space="0" w:color="auto" w:frame="1"/>
              </w:rPr>
            </w:pPr>
            <w:r w:rsidRPr="005A2F82">
              <w:rPr>
                <w:rStyle w:val="rvts15"/>
                <w:b/>
                <w:bCs/>
                <w:strike/>
                <w:color w:val="000000" w:themeColor="text1"/>
                <w:bdr w:val="none" w:sz="0" w:space="0" w:color="auto" w:frame="1"/>
              </w:rPr>
              <w:t xml:space="preserve">5. Подання </w:t>
            </w:r>
            <w:proofErr w:type="spellStart"/>
            <w:r w:rsidRPr="005A2F82">
              <w:rPr>
                <w:rStyle w:val="rvts15"/>
                <w:b/>
                <w:bCs/>
                <w:strike/>
                <w:color w:val="000000" w:themeColor="text1"/>
                <w:bdr w:val="none" w:sz="0" w:space="0" w:color="auto" w:frame="1"/>
              </w:rPr>
              <w:t>Держфінмоніторингу</w:t>
            </w:r>
            <w:proofErr w:type="spellEnd"/>
            <w:r w:rsidRPr="005A2F82">
              <w:rPr>
                <w:rStyle w:val="rvts15"/>
                <w:b/>
                <w:bCs/>
                <w:strike/>
                <w:color w:val="000000" w:themeColor="text1"/>
                <w:bdr w:val="none" w:sz="0" w:space="0" w:color="auto" w:frame="1"/>
              </w:rPr>
              <w:t xml:space="preserve"> України інформації про фінансові операції, що підлягають фінансовому моніторингу, здійснюється згідно з вимогами законодавства.</w:t>
            </w:r>
          </w:p>
          <w:p w:rsidR="005A2F82" w:rsidRPr="005A2F82" w:rsidRDefault="005A2F82" w:rsidP="005A2F82">
            <w:pPr>
              <w:shd w:val="clear" w:color="auto" w:fill="FFFFFF"/>
              <w:tabs>
                <w:tab w:val="left" w:pos="7215"/>
              </w:tabs>
              <w:ind w:firstLine="181"/>
              <w:jc w:val="both"/>
              <w:textAlignment w:val="baseline"/>
              <w:rPr>
                <w:rStyle w:val="rvts15"/>
                <w:b/>
                <w:bCs/>
                <w:strike/>
                <w:color w:val="000000" w:themeColor="text1"/>
                <w:bdr w:val="none" w:sz="0" w:space="0" w:color="auto" w:frame="1"/>
              </w:rPr>
            </w:pPr>
            <w:r w:rsidRPr="005A2F82">
              <w:rPr>
                <w:rStyle w:val="rvts15"/>
                <w:b/>
                <w:bCs/>
                <w:strike/>
                <w:color w:val="000000" w:themeColor="text1"/>
                <w:bdr w:val="none" w:sz="0" w:space="0" w:color="auto" w:frame="1"/>
              </w:rPr>
              <w:t>6. Документи, які стосуються ідентифікації осіб, якими здійснено фінансову операцію, що підлягає фінансовому моніторингу, та всю документацію про здійснення фінансової операції фондова біржа зберігає протягом п'яти років після проведення такої фінансової операції.</w:t>
            </w:r>
          </w:p>
          <w:p w:rsidR="005A2F82" w:rsidRPr="005A2F82" w:rsidRDefault="005A2F82" w:rsidP="005A2F82">
            <w:pPr>
              <w:shd w:val="clear" w:color="auto" w:fill="FFFFFF"/>
              <w:tabs>
                <w:tab w:val="left" w:pos="7215"/>
              </w:tabs>
              <w:ind w:firstLine="181"/>
              <w:jc w:val="both"/>
              <w:textAlignment w:val="baseline"/>
              <w:rPr>
                <w:rStyle w:val="rvts15"/>
                <w:b/>
                <w:bCs/>
                <w:strike/>
                <w:color w:val="000000" w:themeColor="text1"/>
                <w:bdr w:val="none" w:sz="0" w:space="0" w:color="auto" w:frame="1"/>
              </w:rPr>
            </w:pPr>
            <w:r w:rsidRPr="005A2F82">
              <w:rPr>
                <w:rStyle w:val="rvts15"/>
                <w:b/>
                <w:bCs/>
                <w:strike/>
                <w:color w:val="000000" w:themeColor="text1"/>
                <w:bdr w:val="none" w:sz="0" w:space="0" w:color="auto" w:frame="1"/>
              </w:rPr>
              <w:t>7. Фондова біржа забезпечує зберігання та захист інформації, що стосується ідентифікації клієнтів та осіб, які є учасниками фінансової операції, відповідно до правил проведення фінансового моніторингу.</w:t>
            </w:r>
          </w:p>
          <w:p w:rsidR="005A2F82" w:rsidRPr="005A2F82" w:rsidRDefault="005A2F82" w:rsidP="005A2F82">
            <w:pPr>
              <w:shd w:val="clear" w:color="auto" w:fill="FFFFFF"/>
              <w:tabs>
                <w:tab w:val="left" w:pos="7215"/>
              </w:tabs>
              <w:ind w:firstLine="181"/>
              <w:jc w:val="both"/>
              <w:textAlignment w:val="baseline"/>
              <w:rPr>
                <w:rStyle w:val="rvts15"/>
                <w:b/>
                <w:bCs/>
                <w:strike/>
                <w:color w:val="000000" w:themeColor="text1"/>
                <w:bdr w:val="none" w:sz="0" w:space="0" w:color="auto" w:frame="1"/>
              </w:rPr>
            </w:pPr>
            <w:r w:rsidRPr="005A2F82">
              <w:rPr>
                <w:rStyle w:val="rvts15"/>
                <w:b/>
                <w:bCs/>
                <w:strike/>
                <w:color w:val="000000" w:themeColor="text1"/>
                <w:bdr w:val="none" w:sz="0" w:space="0" w:color="auto" w:frame="1"/>
              </w:rPr>
              <w:t>Працівники фондової біржі, які під час виконання своїх функцій та/або надання послуг безпосередньо або опосередковано отримали інформацію, що стосується ідентифікації клієнтів та осіб, які є учасниками фінансової операції, зобов'язані не розголошувати цю інформацію, крім випадків, передбачених законом, і не використовувати її в своїх інтересах або інтересах третіх осіб.</w:t>
            </w:r>
          </w:p>
          <w:p w:rsidR="00DB5A49" w:rsidRPr="005A2F82" w:rsidRDefault="005A2F82" w:rsidP="005A2F82">
            <w:pPr>
              <w:shd w:val="clear" w:color="auto" w:fill="FFFFFF"/>
              <w:tabs>
                <w:tab w:val="left" w:pos="7215"/>
              </w:tabs>
              <w:ind w:firstLine="181"/>
              <w:jc w:val="both"/>
              <w:textAlignment w:val="baseline"/>
              <w:rPr>
                <w:rStyle w:val="rvts15"/>
                <w:b/>
                <w:bCs/>
                <w:strike/>
                <w:color w:val="000000" w:themeColor="text1"/>
                <w:bdr w:val="none" w:sz="0" w:space="0" w:color="auto" w:frame="1"/>
              </w:rPr>
            </w:pPr>
            <w:r w:rsidRPr="005A2F82">
              <w:rPr>
                <w:rStyle w:val="rvts15"/>
                <w:b/>
                <w:bCs/>
                <w:strike/>
                <w:color w:val="000000" w:themeColor="text1"/>
                <w:bdr w:val="none" w:sz="0" w:space="0" w:color="auto" w:frame="1"/>
              </w:rPr>
              <w:t xml:space="preserve">8. Фондові біржі зобов'язані сприяти представникам </w:t>
            </w:r>
            <w:proofErr w:type="spellStart"/>
            <w:r w:rsidRPr="005A2F82">
              <w:rPr>
                <w:rStyle w:val="rvts15"/>
                <w:b/>
                <w:bCs/>
                <w:strike/>
                <w:color w:val="000000" w:themeColor="text1"/>
                <w:bdr w:val="none" w:sz="0" w:space="0" w:color="auto" w:frame="1"/>
              </w:rPr>
              <w:t>Держфінмоніторингу</w:t>
            </w:r>
            <w:proofErr w:type="spellEnd"/>
            <w:r w:rsidRPr="005A2F82">
              <w:rPr>
                <w:rStyle w:val="rvts15"/>
                <w:b/>
                <w:bCs/>
                <w:strike/>
                <w:color w:val="000000" w:themeColor="text1"/>
                <w:bdr w:val="none" w:sz="0" w:space="0" w:color="auto" w:frame="1"/>
              </w:rPr>
              <w:t xml:space="preserve"> України в проведенні аналізу фінансових операцій, що підлягають фінансовому моніторингу, та Комісії у виконанні функцій регулювання та нагляду за дотриманням вимог Закону України "Про запобігання та протидію легалізації (відмиванню) доходів, одержаних злочинним шляхом, або фінансуванню тероризму".</w:t>
            </w:r>
          </w:p>
        </w:tc>
        <w:tc>
          <w:tcPr>
            <w:tcW w:w="7432" w:type="dxa"/>
          </w:tcPr>
          <w:p w:rsidR="00DB5A49" w:rsidRPr="00AA5EF2" w:rsidRDefault="005A2F82" w:rsidP="009420E2">
            <w:pPr>
              <w:pStyle w:val="rvps7"/>
              <w:shd w:val="clear" w:color="auto" w:fill="FFFFFF"/>
              <w:spacing w:before="0" w:beforeAutospacing="0" w:after="0" w:afterAutospacing="0"/>
              <w:ind w:right="450" w:firstLine="181"/>
              <w:jc w:val="both"/>
              <w:textAlignment w:val="baseline"/>
              <w:rPr>
                <w:rStyle w:val="rvts15"/>
                <w:b/>
                <w:bCs/>
                <w:color w:val="000000" w:themeColor="text1"/>
                <w:lang w:val="uk-UA"/>
              </w:rPr>
            </w:pPr>
            <w:r>
              <w:rPr>
                <w:rStyle w:val="rvts15"/>
                <w:b/>
                <w:bCs/>
                <w:color w:val="000000" w:themeColor="text1"/>
                <w:lang w:val="uk-UA"/>
              </w:rPr>
              <w:lastRenderedPageBreak/>
              <w:t>Виключити</w:t>
            </w:r>
            <w:bookmarkStart w:id="0" w:name="_GoBack"/>
            <w:bookmarkEnd w:id="0"/>
          </w:p>
        </w:tc>
      </w:tr>
    </w:tbl>
    <w:p w:rsidR="00F00AE7" w:rsidRPr="00AA5EF2" w:rsidRDefault="00F00AE7" w:rsidP="00A21C84">
      <w:pPr>
        <w:rPr>
          <w:color w:val="000000" w:themeColor="text1"/>
        </w:rPr>
      </w:pPr>
    </w:p>
    <w:sectPr w:rsidR="00F00AE7" w:rsidRPr="00AA5EF2" w:rsidSect="00A21C84">
      <w:headerReference w:type="even" r:id="rId9"/>
      <w:headerReference w:type="default" r:id="rId10"/>
      <w:pgSz w:w="16838" w:h="11906" w:orient="landscape"/>
      <w:pgMar w:top="1135"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AD1" w:rsidRDefault="00EA5AD1" w:rsidP="00855DD2">
      <w:r>
        <w:separator/>
      </w:r>
    </w:p>
  </w:endnote>
  <w:endnote w:type="continuationSeparator" w:id="0">
    <w:p w:rsidR="00EA5AD1" w:rsidRDefault="00EA5AD1" w:rsidP="0085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AD1" w:rsidRDefault="00EA5AD1" w:rsidP="00855DD2">
      <w:r>
        <w:separator/>
      </w:r>
    </w:p>
  </w:footnote>
  <w:footnote w:type="continuationSeparator" w:id="0">
    <w:p w:rsidR="00EA5AD1" w:rsidRDefault="00EA5AD1" w:rsidP="00855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E7" w:rsidRDefault="00A1263C" w:rsidP="009D71E8">
    <w:pPr>
      <w:pStyle w:val="a4"/>
      <w:framePr w:wrap="around" w:vAnchor="text" w:hAnchor="margin" w:xAlign="center" w:y="1"/>
      <w:rPr>
        <w:rStyle w:val="a6"/>
      </w:rPr>
    </w:pPr>
    <w:r>
      <w:rPr>
        <w:rStyle w:val="a6"/>
      </w:rPr>
      <w:fldChar w:fldCharType="begin"/>
    </w:r>
    <w:r w:rsidR="00F00AE7">
      <w:rPr>
        <w:rStyle w:val="a6"/>
      </w:rPr>
      <w:instrText xml:space="preserve">PAGE  </w:instrText>
    </w:r>
    <w:r>
      <w:rPr>
        <w:rStyle w:val="a6"/>
      </w:rPr>
      <w:fldChar w:fldCharType="end"/>
    </w:r>
  </w:p>
  <w:p w:rsidR="00F00AE7" w:rsidRDefault="00F00A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AE7" w:rsidRDefault="00A1263C" w:rsidP="009D71E8">
    <w:pPr>
      <w:pStyle w:val="a4"/>
      <w:framePr w:wrap="around" w:vAnchor="text" w:hAnchor="margin" w:xAlign="center" w:y="1"/>
      <w:rPr>
        <w:rStyle w:val="a6"/>
      </w:rPr>
    </w:pPr>
    <w:r>
      <w:rPr>
        <w:rStyle w:val="a6"/>
      </w:rPr>
      <w:fldChar w:fldCharType="begin"/>
    </w:r>
    <w:r w:rsidR="00F00AE7">
      <w:rPr>
        <w:rStyle w:val="a6"/>
      </w:rPr>
      <w:instrText xml:space="preserve">PAGE  </w:instrText>
    </w:r>
    <w:r>
      <w:rPr>
        <w:rStyle w:val="a6"/>
      </w:rPr>
      <w:fldChar w:fldCharType="separate"/>
    </w:r>
    <w:r w:rsidR="005A2F82">
      <w:rPr>
        <w:rStyle w:val="a6"/>
        <w:noProof/>
      </w:rPr>
      <w:t>13</w:t>
    </w:r>
    <w:r>
      <w:rPr>
        <w:rStyle w:val="a6"/>
      </w:rPr>
      <w:fldChar w:fldCharType="end"/>
    </w:r>
  </w:p>
  <w:p w:rsidR="00F00AE7" w:rsidRDefault="00F00AE7" w:rsidP="009D71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1DA0"/>
    <w:multiLevelType w:val="hybridMultilevel"/>
    <w:tmpl w:val="92183020"/>
    <w:lvl w:ilvl="0" w:tplc="A25AE2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9208B"/>
    <w:multiLevelType w:val="hybridMultilevel"/>
    <w:tmpl w:val="F65854C2"/>
    <w:lvl w:ilvl="0" w:tplc="67C45240">
      <w:start w:val="1"/>
      <w:numFmt w:val="upperRoman"/>
      <w:lvlText w:val="%1."/>
      <w:lvlJc w:val="left"/>
      <w:pPr>
        <w:ind w:left="901" w:hanging="720"/>
      </w:pPr>
      <w:rPr>
        <w:rFonts w:hint="default"/>
      </w:rPr>
    </w:lvl>
    <w:lvl w:ilvl="1" w:tplc="04220019" w:tentative="1">
      <w:start w:val="1"/>
      <w:numFmt w:val="lowerLetter"/>
      <w:lvlText w:val="%2."/>
      <w:lvlJc w:val="left"/>
      <w:pPr>
        <w:ind w:left="1261" w:hanging="360"/>
      </w:pPr>
    </w:lvl>
    <w:lvl w:ilvl="2" w:tplc="0422001B" w:tentative="1">
      <w:start w:val="1"/>
      <w:numFmt w:val="lowerRoman"/>
      <w:lvlText w:val="%3."/>
      <w:lvlJc w:val="right"/>
      <w:pPr>
        <w:ind w:left="1981" w:hanging="180"/>
      </w:pPr>
    </w:lvl>
    <w:lvl w:ilvl="3" w:tplc="0422000F" w:tentative="1">
      <w:start w:val="1"/>
      <w:numFmt w:val="decimal"/>
      <w:lvlText w:val="%4."/>
      <w:lvlJc w:val="left"/>
      <w:pPr>
        <w:ind w:left="2701" w:hanging="360"/>
      </w:pPr>
    </w:lvl>
    <w:lvl w:ilvl="4" w:tplc="04220019" w:tentative="1">
      <w:start w:val="1"/>
      <w:numFmt w:val="lowerLetter"/>
      <w:lvlText w:val="%5."/>
      <w:lvlJc w:val="left"/>
      <w:pPr>
        <w:ind w:left="3421" w:hanging="360"/>
      </w:pPr>
    </w:lvl>
    <w:lvl w:ilvl="5" w:tplc="0422001B" w:tentative="1">
      <w:start w:val="1"/>
      <w:numFmt w:val="lowerRoman"/>
      <w:lvlText w:val="%6."/>
      <w:lvlJc w:val="right"/>
      <w:pPr>
        <w:ind w:left="4141" w:hanging="180"/>
      </w:pPr>
    </w:lvl>
    <w:lvl w:ilvl="6" w:tplc="0422000F" w:tentative="1">
      <w:start w:val="1"/>
      <w:numFmt w:val="decimal"/>
      <w:lvlText w:val="%7."/>
      <w:lvlJc w:val="left"/>
      <w:pPr>
        <w:ind w:left="4861" w:hanging="360"/>
      </w:pPr>
    </w:lvl>
    <w:lvl w:ilvl="7" w:tplc="04220019" w:tentative="1">
      <w:start w:val="1"/>
      <w:numFmt w:val="lowerLetter"/>
      <w:lvlText w:val="%8."/>
      <w:lvlJc w:val="left"/>
      <w:pPr>
        <w:ind w:left="5581" w:hanging="360"/>
      </w:pPr>
    </w:lvl>
    <w:lvl w:ilvl="8" w:tplc="0422001B" w:tentative="1">
      <w:start w:val="1"/>
      <w:numFmt w:val="lowerRoman"/>
      <w:lvlText w:val="%9."/>
      <w:lvlJc w:val="right"/>
      <w:pPr>
        <w:ind w:left="6301" w:hanging="180"/>
      </w:pPr>
    </w:lvl>
  </w:abstractNum>
  <w:abstractNum w:abstractNumId="2">
    <w:nsid w:val="197D08EE"/>
    <w:multiLevelType w:val="hybridMultilevel"/>
    <w:tmpl w:val="7A569C8C"/>
    <w:lvl w:ilvl="0" w:tplc="0806344A">
      <w:start w:val="1"/>
      <w:numFmt w:val="upperRoman"/>
      <w:lvlText w:val="%1."/>
      <w:lvlJc w:val="left"/>
      <w:pPr>
        <w:ind w:left="901" w:hanging="720"/>
      </w:pPr>
      <w:rPr>
        <w:rFonts w:hint="default"/>
      </w:rPr>
    </w:lvl>
    <w:lvl w:ilvl="1" w:tplc="04220019" w:tentative="1">
      <w:start w:val="1"/>
      <w:numFmt w:val="lowerLetter"/>
      <w:lvlText w:val="%2."/>
      <w:lvlJc w:val="left"/>
      <w:pPr>
        <w:ind w:left="1261" w:hanging="360"/>
      </w:pPr>
    </w:lvl>
    <w:lvl w:ilvl="2" w:tplc="0422001B" w:tentative="1">
      <w:start w:val="1"/>
      <w:numFmt w:val="lowerRoman"/>
      <w:lvlText w:val="%3."/>
      <w:lvlJc w:val="right"/>
      <w:pPr>
        <w:ind w:left="1981" w:hanging="180"/>
      </w:pPr>
    </w:lvl>
    <w:lvl w:ilvl="3" w:tplc="0422000F" w:tentative="1">
      <w:start w:val="1"/>
      <w:numFmt w:val="decimal"/>
      <w:lvlText w:val="%4."/>
      <w:lvlJc w:val="left"/>
      <w:pPr>
        <w:ind w:left="2701" w:hanging="360"/>
      </w:pPr>
    </w:lvl>
    <w:lvl w:ilvl="4" w:tplc="04220019" w:tentative="1">
      <w:start w:val="1"/>
      <w:numFmt w:val="lowerLetter"/>
      <w:lvlText w:val="%5."/>
      <w:lvlJc w:val="left"/>
      <w:pPr>
        <w:ind w:left="3421" w:hanging="360"/>
      </w:pPr>
    </w:lvl>
    <w:lvl w:ilvl="5" w:tplc="0422001B" w:tentative="1">
      <w:start w:val="1"/>
      <w:numFmt w:val="lowerRoman"/>
      <w:lvlText w:val="%6."/>
      <w:lvlJc w:val="right"/>
      <w:pPr>
        <w:ind w:left="4141" w:hanging="180"/>
      </w:pPr>
    </w:lvl>
    <w:lvl w:ilvl="6" w:tplc="0422000F" w:tentative="1">
      <w:start w:val="1"/>
      <w:numFmt w:val="decimal"/>
      <w:lvlText w:val="%7."/>
      <w:lvlJc w:val="left"/>
      <w:pPr>
        <w:ind w:left="4861" w:hanging="360"/>
      </w:pPr>
    </w:lvl>
    <w:lvl w:ilvl="7" w:tplc="04220019" w:tentative="1">
      <w:start w:val="1"/>
      <w:numFmt w:val="lowerLetter"/>
      <w:lvlText w:val="%8."/>
      <w:lvlJc w:val="left"/>
      <w:pPr>
        <w:ind w:left="5581" w:hanging="360"/>
      </w:pPr>
    </w:lvl>
    <w:lvl w:ilvl="8" w:tplc="0422001B" w:tentative="1">
      <w:start w:val="1"/>
      <w:numFmt w:val="lowerRoman"/>
      <w:lvlText w:val="%9."/>
      <w:lvlJc w:val="right"/>
      <w:pPr>
        <w:ind w:left="6301" w:hanging="180"/>
      </w:pPr>
    </w:lvl>
  </w:abstractNum>
  <w:abstractNum w:abstractNumId="3">
    <w:nsid w:val="23F51763"/>
    <w:multiLevelType w:val="hybridMultilevel"/>
    <w:tmpl w:val="B442F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5C7125"/>
    <w:multiLevelType w:val="hybridMultilevel"/>
    <w:tmpl w:val="760AF57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DC0F2F"/>
    <w:multiLevelType w:val="multilevel"/>
    <w:tmpl w:val="6C9ACF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687EFC"/>
    <w:multiLevelType w:val="hybridMultilevel"/>
    <w:tmpl w:val="9CB65ADC"/>
    <w:lvl w:ilvl="0" w:tplc="03F892AE">
      <w:start w:val="1"/>
      <w:numFmt w:val="decimal"/>
      <w:lvlText w:val="%1."/>
      <w:lvlJc w:val="left"/>
      <w:pPr>
        <w:ind w:left="541" w:hanging="360"/>
      </w:pPr>
      <w:rPr>
        <w:rFonts w:hint="default"/>
      </w:rPr>
    </w:lvl>
    <w:lvl w:ilvl="1" w:tplc="04220019" w:tentative="1">
      <w:start w:val="1"/>
      <w:numFmt w:val="lowerLetter"/>
      <w:lvlText w:val="%2."/>
      <w:lvlJc w:val="left"/>
      <w:pPr>
        <w:ind w:left="1261" w:hanging="360"/>
      </w:pPr>
    </w:lvl>
    <w:lvl w:ilvl="2" w:tplc="0422001B" w:tentative="1">
      <w:start w:val="1"/>
      <w:numFmt w:val="lowerRoman"/>
      <w:lvlText w:val="%3."/>
      <w:lvlJc w:val="right"/>
      <w:pPr>
        <w:ind w:left="1981" w:hanging="180"/>
      </w:pPr>
    </w:lvl>
    <w:lvl w:ilvl="3" w:tplc="0422000F" w:tentative="1">
      <w:start w:val="1"/>
      <w:numFmt w:val="decimal"/>
      <w:lvlText w:val="%4."/>
      <w:lvlJc w:val="left"/>
      <w:pPr>
        <w:ind w:left="2701" w:hanging="360"/>
      </w:pPr>
    </w:lvl>
    <w:lvl w:ilvl="4" w:tplc="04220019" w:tentative="1">
      <w:start w:val="1"/>
      <w:numFmt w:val="lowerLetter"/>
      <w:lvlText w:val="%5."/>
      <w:lvlJc w:val="left"/>
      <w:pPr>
        <w:ind w:left="3421" w:hanging="360"/>
      </w:pPr>
    </w:lvl>
    <w:lvl w:ilvl="5" w:tplc="0422001B" w:tentative="1">
      <w:start w:val="1"/>
      <w:numFmt w:val="lowerRoman"/>
      <w:lvlText w:val="%6."/>
      <w:lvlJc w:val="right"/>
      <w:pPr>
        <w:ind w:left="4141" w:hanging="180"/>
      </w:pPr>
    </w:lvl>
    <w:lvl w:ilvl="6" w:tplc="0422000F" w:tentative="1">
      <w:start w:val="1"/>
      <w:numFmt w:val="decimal"/>
      <w:lvlText w:val="%7."/>
      <w:lvlJc w:val="left"/>
      <w:pPr>
        <w:ind w:left="4861" w:hanging="360"/>
      </w:pPr>
    </w:lvl>
    <w:lvl w:ilvl="7" w:tplc="04220019" w:tentative="1">
      <w:start w:val="1"/>
      <w:numFmt w:val="lowerLetter"/>
      <w:lvlText w:val="%8."/>
      <w:lvlJc w:val="left"/>
      <w:pPr>
        <w:ind w:left="5581" w:hanging="360"/>
      </w:pPr>
    </w:lvl>
    <w:lvl w:ilvl="8" w:tplc="0422001B" w:tentative="1">
      <w:start w:val="1"/>
      <w:numFmt w:val="lowerRoman"/>
      <w:lvlText w:val="%9."/>
      <w:lvlJc w:val="right"/>
      <w:pPr>
        <w:ind w:left="6301" w:hanging="180"/>
      </w:pPr>
    </w:lvl>
  </w:abstractNum>
  <w:abstractNum w:abstractNumId="7">
    <w:nsid w:val="43805730"/>
    <w:multiLevelType w:val="hybridMultilevel"/>
    <w:tmpl w:val="AE740E4A"/>
    <w:lvl w:ilvl="0" w:tplc="3DA65410">
      <w:start w:val="9"/>
      <w:numFmt w:val="bullet"/>
      <w:lvlText w:val=""/>
      <w:lvlJc w:val="left"/>
      <w:pPr>
        <w:tabs>
          <w:tab w:val="num" w:pos="720"/>
        </w:tabs>
        <w:ind w:left="720" w:hanging="360"/>
      </w:pPr>
      <w:rPr>
        <w:rFonts w:ascii="Symbol" w:eastAsia="Times New Roman" w:hAnsi="Symbol" w:cs="Times New Roman" w:hint="default"/>
        <w:sz w:val="24"/>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48D1332E"/>
    <w:multiLevelType w:val="hybridMultilevel"/>
    <w:tmpl w:val="51663448"/>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9">
    <w:nsid w:val="49DF2C70"/>
    <w:multiLevelType w:val="hybridMultilevel"/>
    <w:tmpl w:val="54E44210"/>
    <w:lvl w:ilvl="0" w:tplc="80A83BE6">
      <w:start w:val="1"/>
      <w:numFmt w:val="decimal"/>
      <w:lvlText w:val="%1."/>
      <w:lvlJc w:val="left"/>
      <w:pPr>
        <w:ind w:left="616" w:hanging="435"/>
      </w:pPr>
      <w:rPr>
        <w:rFonts w:hint="default"/>
      </w:rPr>
    </w:lvl>
    <w:lvl w:ilvl="1" w:tplc="04220019" w:tentative="1">
      <w:start w:val="1"/>
      <w:numFmt w:val="lowerLetter"/>
      <w:lvlText w:val="%2."/>
      <w:lvlJc w:val="left"/>
      <w:pPr>
        <w:ind w:left="1261" w:hanging="360"/>
      </w:pPr>
    </w:lvl>
    <w:lvl w:ilvl="2" w:tplc="0422001B" w:tentative="1">
      <w:start w:val="1"/>
      <w:numFmt w:val="lowerRoman"/>
      <w:lvlText w:val="%3."/>
      <w:lvlJc w:val="right"/>
      <w:pPr>
        <w:ind w:left="1981" w:hanging="180"/>
      </w:pPr>
    </w:lvl>
    <w:lvl w:ilvl="3" w:tplc="0422000F" w:tentative="1">
      <w:start w:val="1"/>
      <w:numFmt w:val="decimal"/>
      <w:lvlText w:val="%4."/>
      <w:lvlJc w:val="left"/>
      <w:pPr>
        <w:ind w:left="2701" w:hanging="360"/>
      </w:pPr>
    </w:lvl>
    <w:lvl w:ilvl="4" w:tplc="04220019" w:tentative="1">
      <w:start w:val="1"/>
      <w:numFmt w:val="lowerLetter"/>
      <w:lvlText w:val="%5."/>
      <w:lvlJc w:val="left"/>
      <w:pPr>
        <w:ind w:left="3421" w:hanging="360"/>
      </w:pPr>
    </w:lvl>
    <w:lvl w:ilvl="5" w:tplc="0422001B" w:tentative="1">
      <w:start w:val="1"/>
      <w:numFmt w:val="lowerRoman"/>
      <w:lvlText w:val="%6."/>
      <w:lvlJc w:val="right"/>
      <w:pPr>
        <w:ind w:left="4141" w:hanging="180"/>
      </w:pPr>
    </w:lvl>
    <w:lvl w:ilvl="6" w:tplc="0422000F" w:tentative="1">
      <w:start w:val="1"/>
      <w:numFmt w:val="decimal"/>
      <w:lvlText w:val="%7."/>
      <w:lvlJc w:val="left"/>
      <w:pPr>
        <w:ind w:left="4861" w:hanging="360"/>
      </w:pPr>
    </w:lvl>
    <w:lvl w:ilvl="7" w:tplc="04220019" w:tentative="1">
      <w:start w:val="1"/>
      <w:numFmt w:val="lowerLetter"/>
      <w:lvlText w:val="%8."/>
      <w:lvlJc w:val="left"/>
      <w:pPr>
        <w:ind w:left="5581" w:hanging="360"/>
      </w:pPr>
    </w:lvl>
    <w:lvl w:ilvl="8" w:tplc="0422001B" w:tentative="1">
      <w:start w:val="1"/>
      <w:numFmt w:val="lowerRoman"/>
      <w:lvlText w:val="%9."/>
      <w:lvlJc w:val="right"/>
      <w:pPr>
        <w:ind w:left="6301" w:hanging="180"/>
      </w:pPr>
    </w:lvl>
  </w:abstractNum>
  <w:abstractNum w:abstractNumId="10">
    <w:nsid w:val="54FC1D9E"/>
    <w:multiLevelType w:val="hybridMultilevel"/>
    <w:tmpl w:val="A6D83180"/>
    <w:lvl w:ilvl="0" w:tplc="74241646">
      <w:start w:val="1"/>
      <w:numFmt w:val="decimal"/>
      <w:lvlText w:val="%1."/>
      <w:lvlJc w:val="left"/>
      <w:pPr>
        <w:ind w:left="400" w:hanging="405"/>
      </w:pPr>
      <w:rPr>
        <w:rFonts w:hint="default"/>
        <w:b w:val="0"/>
        <w:color w:val="000000" w:themeColor="text1"/>
        <w:sz w:val="28"/>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1">
    <w:nsid w:val="578A12CC"/>
    <w:multiLevelType w:val="hybridMultilevel"/>
    <w:tmpl w:val="0E52A6E2"/>
    <w:lvl w:ilvl="0" w:tplc="4F4A36E2">
      <w:start w:val="4"/>
      <w:numFmt w:val="decimal"/>
      <w:lvlText w:val="%1."/>
      <w:lvlJc w:val="left"/>
      <w:pPr>
        <w:ind w:left="355" w:hanging="360"/>
      </w:pPr>
      <w:rPr>
        <w:rFonts w:hint="default"/>
        <w:b w:val="0"/>
        <w:color w:val="auto"/>
      </w:rPr>
    </w:lvl>
    <w:lvl w:ilvl="1" w:tplc="04190019" w:tentative="1">
      <w:start w:val="1"/>
      <w:numFmt w:val="lowerLetter"/>
      <w:lvlText w:val="%2."/>
      <w:lvlJc w:val="left"/>
      <w:pPr>
        <w:ind w:left="1075" w:hanging="360"/>
      </w:pPr>
    </w:lvl>
    <w:lvl w:ilvl="2" w:tplc="0419001B" w:tentative="1">
      <w:start w:val="1"/>
      <w:numFmt w:val="lowerRoman"/>
      <w:lvlText w:val="%3."/>
      <w:lvlJc w:val="right"/>
      <w:pPr>
        <w:ind w:left="1795" w:hanging="180"/>
      </w:pPr>
    </w:lvl>
    <w:lvl w:ilvl="3" w:tplc="0419000F" w:tentative="1">
      <w:start w:val="1"/>
      <w:numFmt w:val="decimal"/>
      <w:lvlText w:val="%4."/>
      <w:lvlJc w:val="left"/>
      <w:pPr>
        <w:ind w:left="2515" w:hanging="360"/>
      </w:pPr>
    </w:lvl>
    <w:lvl w:ilvl="4" w:tplc="04190019" w:tentative="1">
      <w:start w:val="1"/>
      <w:numFmt w:val="lowerLetter"/>
      <w:lvlText w:val="%5."/>
      <w:lvlJc w:val="left"/>
      <w:pPr>
        <w:ind w:left="3235" w:hanging="360"/>
      </w:pPr>
    </w:lvl>
    <w:lvl w:ilvl="5" w:tplc="0419001B" w:tentative="1">
      <w:start w:val="1"/>
      <w:numFmt w:val="lowerRoman"/>
      <w:lvlText w:val="%6."/>
      <w:lvlJc w:val="right"/>
      <w:pPr>
        <w:ind w:left="3955" w:hanging="180"/>
      </w:pPr>
    </w:lvl>
    <w:lvl w:ilvl="6" w:tplc="0419000F" w:tentative="1">
      <w:start w:val="1"/>
      <w:numFmt w:val="decimal"/>
      <w:lvlText w:val="%7."/>
      <w:lvlJc w:val="left"/>
      <w:pPr>
        <w:ind w:left="4675" w:hanging="360"/>
      </w:pPr>
    </w:lvl>
    <w:lvl w:ilvl="7" w:tplc="04190019" w:tentative="1">
      <w:start w:val="1"/>
      <w:numFmt w:val="lowerLetter"/>
      <w:lvlText w:val="%8."/>
      <w:lvlJc w:val="left"/>
      <w:pPr>
        <w:ind w:left="5395" w:hanging="360"/>
      </w:pPr>
    </w:lvl>
    <w:lvl w:ilvl="8" w:tplc="0419001B" w:tentative="1">
      <w:start w:val="1"/>
      <w:numFmt w:val="lowerRoman"/>
      <w:lvlText w:val="%9."/>
      <w:lvlJc w:val="right"/>
      <w:pPr>
        <w:ind w:left="6115" w:hanging="180"/>
      </w:pPr>
    </w:lvl>
  </w:abstractNum>
  <w:abstractNum w:abstractNumId="12">
    <w:nsid w:val="5EC621C0"/>
    <w:multiLevelType w:val="hybridMultilevel"/>
    <w:tmpl w:val="AA92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7B300C"/>
    <w:multiLevelType w:val="multilevel"/>
    <w:tmpl w:val="F60CE994"/>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b/>
        <w:sz w:val="29"/>
      </w:rPr>
    </w:lvl>
    <w:lvl w:ilvl="2">
      <w:start w:val="1"/>
      <w:numFmt w:val="decimal"/>
      <w:isLgl/>
      <w:lvlText w:val="%1.%2.%3."/>
      <w:lvlJc w:val="left"/>
      <w:pPr>
        <w:ind w:left="1080" w:hanging="720"/>
      </w:pPr>
      <w:rPr>
        <w:rFonts w:hint="default"/>
        <w:b/>
        <w:sz w:val="29"/>
      </w:rPr>
    </w:lvl>
    <w:lvl w:ilvl="3">
      <w:start w:val="1"/>
      <w:numFmt w:val="decimal"/>
      <w:isLgl/>
      <w:lvlText w:val="%1.%2.%3.%4."/>
      <w:lvlJc w:val="left"/>
      <w:pPr>
        <w:ind w:left="1440" w:hanging="1080"/>
      </w:pPr>
      <w:rPr>
        <w:rFonts w:hint="default"/>
        <w:b/>
        <w:sz w:val="29"/>
      </w:rPr>
    </w:lvl>
    <w:lvl w:ilvl="4">
      <w:start w:val="1"/>
      <w:numFmt w:val="decimal"/>
      <w:isLgl/>
      <w:lvlText w:val="%1.%2.%3.%4.%5."/>
      <w:lvlJc w:val="left"/>
      <w:pPr>
        <w:ind w:left="1440" w:hanging="1080"/>
      </w:pPr>
      <w:rPr>
        <w:rFonts w:hint="default"/>
        <w:b/>
        <w:sz w:val="29"/>
      </w:rPr>
    </w:lvl>
    <w:lvl w:ilvl="5">
      <w:start w:val="1"/>
      <w:numFmt w:val="decimal"/>
      <w:isLgl/>
      <w:lvlText w:val="%1.%2.%3.%4.%5.%6."/>
      <w:lvlJc w:val="left"/>
      <w:pPr>
        <w:ind w:left="1800" w:hanging="1440"/>
      </w:pPr>
      <w:rPr>
        <w:rFonts w:hint="default"/>
        <w:b/>
        <w:sz w:val="29"/>
      </w:rPr>
    </w:lvl>
    <w:lvl w:ilvl="6">
      <w:start w:val="1"/>
      <w:numFmt w:val="decimal"/>
      <w:isLgl/>
      <w:lvlText w:val="%1.%2.%3.%4.%5.%6.%7."/>
      <w:lvlJc w:val="left"/>
      <w:pPr>
        <w:ind w:left="2160" w:hanging="1800"/>
      </w:pPr>
      <w:rPr>
        <w:rFonts w:hint="default"/>
        <w:b/>
        <w:sz w:val="29"/>
      </w:rPr>
    </w:lvl>
    <w:lvl w:ilvl="7">
      <w:start w:val="1"/>
      <w:numFmt w:val="decimal"/>
      <w:isLgl/>
      <w:lvlText w:val="%1.%2.%3.%4.%5.%6.%7.%8."/>
      <w:lvlJc w:val="left"/>
      <w:pPr>
        <w:ind w:left="2160" w:hanging="1800"/>
      </w:pPr>
      <w:rPr>
        <w:rFonts w:hint="default"/>
        <w:b/>
        <w:sz w:val="29"/>
      </w:rPr>
    </w:lvl>
    <w:lvl w:ilvl="8">
      <w:start w:val="1"/>
      <w:numFmt w:val="decimal"/>
      <w:isLgl/>
      <w:lvlText w:val="%1.%2.%3.%4.%5.%6.%7.%8.%9."/>
      <w:lvlJc w:val="left"/>
      <w:pPr>
        <w:ind w:left="2520" w:hanging="2160"/>
      </w:pPr>
      <w:rPr>
        <w:rFonts w:hint="default"/>
        <w:b/>
        <w:sz w:val="29"/>
      </w:rPr>
    </w:lvl>
  </w:abstractNum>
  <w:num w:numId="1">
    <w:abstractNumId w:val="0"/>
  </w:num>
  <w:num w:numId="2">
    <w:abstractNumId w:val="3"/>
  </w:num>
  <w:num w:numId="3">
    <w:abstractNumId w:val="12"/>
  </w:num>
  <w:num w:numId="4">
    <w:abstractNumId w:val="5"/>
  </w:num>
  <w:num w:numId="5">
    <w:abstractNumId w:val="13"/>
  </w:num>
  <w:num w:numId="6">
    <w:abstractNumId w:val="10"/>
  </w:num>
  <w:num w:numId="7">
    <w:abstractNumId w:val="11"/>
  </w:num>
  <w:num w:numId="8">
    <w:abstractNumId w:val="7"/>
  </w:num>
  <w:num w:numId="9">
    <w:abstractNumId w:val="4"/>
  </w:num>
  <w:num w:numId="10">
    <w:abstractNumId w:val="8"/>
  </w:num>
  <w:num w:numId="11">
    <w:abstractNumId w:val="1"/>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3C"/>
    <w:rsid w:val="00026EBD"/>
    <w:rsid w:val="0006359B"/>
    <w:rsid w:val="00070734"/>
    <w:rsid w:val="0007207C"/>
    <w:rsid w:val="00073208"/>
    <w:rsid w:val="000A2CCF"/>
    <w:rsid w:val="000C715B"/>
    <w:rsid w:val="000F2941"/>
    <w:rsid w:val="000F7C37"/>
    <w:rsid w:val="001150D3"/>
    <w:rsid w:val="00151751"/>
    <w:rsid w:val="001566A8"/>
    <w:rsid w:val="00156809"/>
    <w:rsid w:val="00156AA1"/>
    <w:rsid w:val="001A6248"/>
    <w:rsid w:val="001A7C49"/>
    <w:rsid w:val="002206C4"/>
    <w:rsid w:val="00240C9A"/>
    <w:rsid w:val="00245B0B"/>
    <w:rsid w:val="00313DD9"/>
    <w:rsid w:val="0032647A"/>
    <w:rsid w:val="0039199E"/>
    <w:rsid w:val="003923F8"/>
    <w:rsid w:val="003A0872"/>
    <w:rsid w:val="003A3F2C"/>
    <w:rsid w:val="003A5683"/>
    <w:rsid w:val="003C77D3"/>
    <w:rsid w:val="00401CDF"/>
    <w:rsid w:val="00403273"/>
    <w:rsid w:val="00425B68"/>
    <w:rsid w:val="00460173"/>
    <w:rsid w:val="0048206D"/>
    <w:rsid w:val="004E0AD0"/>
    <w:rsid w:val="004E1D2E"/>
    <w:rsid w:val="005033F3"/>
    <w:rsid w:val="00512B92"/>
    <w:rsid w:val="005228F2"/>
    <w:rsid w:val="00531F09"/>
    <w:rsid w:val="00536D02"/>
    <w:rsid w:val="00564A76"/>
    <w:rsid w:val="00576E37"/>
    <w:rsid w:val="005A27C0"/>
    <w:rsid w:val="005A2F82"/>
    <w:rsid w:val="005C54D7"/>
    <w:rsid w:val="005D113B"/>
    <w:rsid w:val="005D1AAA"/>
    <w:rsid w:val="005D4BEC"/>
    <w:rsid w:val="00615C95"/>
    <w:rsid w:val="0066099B"/>
    <w:rsid w:val="00671ED9"/>
    <w:rsid w:val="006913DE"/>
    <w:rsid w:val="00692B1C"/>
    <w:rsid w:val="00694F55"/>
    <w:rsid w:val="006B2713"/>
    <w:rsid w:val="006B3BED"/>
    <w:rsid w:val="006D14B6"/>
    <w:rsid w:val="006E52FE"/>
    <w:rsid w:val="00732574"/>
    <w:rsid w:val="00735C77"/>
    <w:rsid w:val="007569E0"/>
    <w:rsid w:val="00760F3C"/>
    <w:rsid w:val="00785475"/>
    <w:rsid w:val="00793117"/>
    <w:rsid w:val="007C5655"/>
    <w:rsid w:val="00804C52"/>
    <w:rsid w:val="008105E1"/>
    <w:rsid w:val="008279E9"/>
    <w:rsid w:val="00840259"/>
    <w:rsid w:val="00846517"/>
    <w:rsid w:val="00854C0F"/>
    <w:rsid w:val="00855DD2"/>
    <w:rsid w:val="00876BA8"/>
    <w:rsid w:val="008A5456"/>
    <w:rsid w:val="00904961"/>
    <w:rsid w:val="009420E2"/>
    <w:rsid w:val="00966A6E"/>
    <w:rsid w:val="00983C27"/>
    <w:rsid w:val="009958D4"/>
    <w:rsid w:val="009D71E8"/>
    <w:rsid w:val="00A052D8"/>
    <w:rsid w:val="00A1263C"/>
    <w:rsid w:val="00A21C84"/>
    <w:rsid w:val="00A328AD"/>
    <w:rsid w:val="00A650F7"/>
    <w:rsid w:val="00A77DB3"/>
    <w:rsid w:val="00A96C01"/>
    <w:rsid w:val="00AA39D3"/>
    <w:rsid w:val="00AA5EF2"/>
    <w:rsid w:val="00AD3F9E"/>
    <w:rsid w:val="00AD52D0"/>
    <w:rsid w:val="00AE1AB7"/>
    <w:rsid w:val="00AE638D"/>
    <w:rsid w:val="00B116DE"/>
    <w:rsid w:val="00B24948"/>
    <w:rsid w:val="00B4418C"/>
    <w:rsid w:val="00B86AF5"/>
    <w:rsid w:val="00BC2C4E"/>
    <w:rsid w:val="00BD23B8"/>
    <w:rsid w:val="00C52693"/>
    <w:rsid w:val="00C56086"/>
    <w:rsid w:val="00C838FE"/>
    <w:rsid w:val="00CD29A3"/>
    <w:rsid w:val="00CE7112"/>
    <w:rsid w:val="00D16FBF"/>
    <w:rsid w:val="00D21C33"/>
    <w:rsid w:val="00D5162D"/>
    <w:rsid w:val="00D575C4"/>
    <w:rsid w:val="00D72E36"/>
    <w:rsid w:val="00D73F11"/>
    <w:rsid w:val="00D76378"/>
    <w:rsid w:val="00D957C2"/>
    <w:rsid w:val="00DB5A49"/>
    <w:rsid w:val="00E01BAA"/>
    <w:rsid w:val="00E115A0"/>
    <w:rsid w:val="00E12298"/>
    <w:rsid w:val="00E201BD"/>
    <w:rsid w:val="00E262CB"/>
    <w:rsid w:val="00E45F8F"/>
    <w:rsid w:val="00E6533C"/>
    <w:rsid w:val="00E96278"/>
    <w:rsid w:val="00EA210B"/>
    <w:rsid w:val="00EA5AD1"/>
    <w:rsid w:val="00EC13BB"/>
    <w:rsid w:val="00F00AE7"/>
    <w:rsid w:val="00F0317A"/>
    <w:rsid w:val="00F62EC7"/>
    <w:rsid w:val="00F93575"/>
    <w:rsid w:val="00FA0DB0"/>
    <w:rsid w:val="00FB2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B7"/>
    <w:pPr>
      <w:spacing w:after="0" w:line="240" w:lineRule="auto"/>
    </w:pPr>
    <w:rPr>
      <w:rFonts w:ascii="Times New Roman" w:eastAsia="MS Mincho" w:hAnsi="Times New Roman" w:cs="Times New Roman"/>
      <w:sz w:val="24"/>
      <w:szCs w:val="24"/>
      <w:lang w:val="uk-UA" w:eastAsia="ja-JP"/>
    </w:rPr>
  </w:style>
  <w:style w:type="paragraph" w:styleId="1">
    <w:name w:val="heading 1"/>
    <w:basedOn w:val="a"/>
    <w:next w:val="a"/>
    <w:link w:val="10"/>
    <w:uiPriority w:val="9"/>
    <w:qFormat/>
    <w:rsid w:val="006913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01C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A328AD"/>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533C"/>
    <w:pPr>
      <w:spacing w:before="100" w:beforeAutospacing="1" w:after="100" w:afterAutospacing="1"/>
    </w:pPr>
    <w:rPr>
      <w:rFonts w:eastAsia="Times New Roman"/>
      <w:lang w:val="ru-RU" w:eastAsia="ru-RU"/>
    </w:rPr>
  </w:style>
  <w:style w:type="paragraph" w:styleId="a4">
    <w:name w:val="header"/>
    <w:basedOn w:val="a"/>
    <w:link w:val="a5"/>
    <w:rsid w:val="00E6533C"/>
    <w:pPr>
      <w:tabs>
        <w:tab w:val="center" w:pos="4819"/>
        <w:tab w:val="right" w:pos="9639"/>
      </w:tabs>
    </w:pPr>
    <w:rPr>
      <w:rFonts w:eastAsia="Times New Roman"/>
      <w:sz w:val="28"/>
      <w:szCs w:val="20"/>
      <w:lang w:val="ru-RU" w:eastAsia="ru-RU"/>
    </w:rPr>
  </w:style>
  <w:style w:type="character" w:customStyle="1" w:styleId="a5">
    <w:name w:val="Верхний колонтитул Знак"/>
    <w:basedOn w:val="a0"/>
    <w:link w:val="a4"/>
    <w:rsid w:val="00E6533C"/>
    <w:rPr>
      <w:rFonts w:ascii="Times New Roman" w:eastAsia="Times New Roman" w:hAnsi="Times New Roman" w:cs="Times New Roman"/>
      <w:sz w:val="28"/>
      <w:szCs w:val="20"/>
      <w:lang w:eastAsia="ru-RU"/>
    </w:rPr>
  </w:style>
  <w:style w:type="character" w:styleId="a6">
    <w:name w:val="page number"/>
    <w:basedOn w:val="a0"/>
    <w:rsid w:val="00E6533C"/>
  </w:style>
  <w:style w:type="paragraph" w:styleId="a7">
    <w:name w:val="Body Text"/>
    <w:basedOn w:val="a"/>
    <w:link w:val="a8"/>
    <w:rsid w:val="00E6533C"/>
    <w:pPr>
      <w:jc w:val="both"/>
    </w:pPr>
    <w:rPr>
      <w:rFonts w:eastAsia="Times New Roman"/>
      <w:sz w:val="28"/>
      <w:szCs w:val="20"/>
      <w:lang w:eastAsia="ru-RU"/>
    </w:rPr>
  </w:style>
  <w:style w:type="character" w:customStyle="1" w:styleId="a8">
    <w:name w:val="Основной текст Знак"/>
    <w:basedOn w:val="a0"/>
    <w:link w:val="a7"/>
    <w:rsid w:val="00E6533C"/>
    <w:rPr>
      <w:rFonts w:ascii="Times New Roman" w:eastAsia="Times New Roman" w:hAnsi="Times New Roman" w:cs="Times New Roman"/>
      <w:sz w:val="28"/>
      <w:szCs w:val="20"/>
      <w:lang w:val="uk-UA" w:eastAsia="ru-RU"/>
    </w:rPr>
  </w:style>
  <w:style w:type="paragraph" w:styleId="a9">
    <w:name w:val="List Paragraph"/>
    <w:basedOn w:val="a"/>
    <w:uiPriority w:val="34"/>
    <w:qFormat/>
    <w:rsid w:val="00F0317A"/>
    <w:pPr>
      <w:ind w:left="720"/>
      <w:contextualSpacing/>
    </w:pPr>
  </w:style>
  <w:style w:type="character" w:customStyle="1" w:styleId="30">
    <w:name w:val="Заголовок 3 Знак"/>
    <w:basedOn w:val="a0"/>
    <w:link w:val="3"/>
    <w:rsid w:val="00A328AD"/>
    <w:rPr>
      <w:rFonts w:ascii="Times New Roman" w:eastAsia="Times New Roman" w:hAnsi="Times New Roman" w:cs="Times New Roman"/>
      <w:b/>
      <w:bCs/>
      <w:sz w:val="27"/>
      <w:szCs w:val="27"/>
      <w:lang w:val="uk-UA" w:eastAsia="uk-UA"/>
    </w:rPr>
  </w:style>
  <w:style w:type="table" w:styleId="aa">
    <w:name w:val="Table Grid"/>
    <w:basedOn w:val="a1"/>
    <w:rsid w:val="00D957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semiHidden/>
    <w:unhideWhenUsed/>
    <w:rsid w:val="006B3BED"/>
    <w:pPr>
      <w:tabs>
        <w:tab w:val="center" w:pos="4677"/>
        <w:tab w:val="right" w:pos="9355"/>
      </w:tabs>
    </w:pPr>
  </w:style>
  <w:style w:type="character" w:customStyle="1" w:styleId="ac">
    <w:name w:val="Нижний колонтитул Знак"/>
    <w:basedOn w:val="a0"/>
    <w:link w:val="ab"/>
    <w:uiPriority w:val="99"/>
    <w:semiHidden/>
    <w:rsid w:val="006B3BED"/>
    <w:rPr>
      <w:rFonts w:ascii="Times New Roman" w:eastAsia="MS Mincho" w:hAnsi="Times New Roman" w:cs="Times New Roman"/>
      <w:sz w:val="24"/>
      <w:szCs w:val="24"/>
      <w:lang w:val="uk-UA" w:eastAsia="ja-JP"/>
    </w:rPr>
  </w:style>
  <w:style w:type="character" w:customStyle="1" w:styleId="20">
    <w:name w:val="Заголовок 2 Знак"/>
    <w:basedOn w:val="a0"/>
    <w:link w:val="2"/>
    <w:uiPriority w:val="9"/>
    <w:rsid w:val="00401CDF"/>
    <w:rPr>
      <w:rFonts w:asciiTheme="majorHAnsi" w:eastAsiaTheme="majorEastAsia" w:hAnsiTheme="majorHAnsi" w:cstheme="majorBidi"/>
      <w:b/>
      <w:bCs/>
      <w:color w:val="4F81BD" w:themeColor="accent1"/>
      <w:sz w:val="26"/>
      <w:szCs w:val="26"/>
      <w:lang w:val="uk-UA" w:eastAsia="ja-JP"/>
    </w:rPr>
  </w:style>
  <w:style w:type="paragraph" w:customStyle="1" w:styleId="rvps2">
    <w:name w:val="rvps2"/>
    <w:basedOn w:val="a"/>
    <w:rsid w:val="000F7C37"/>
    <w:pPr>
      <w:spacing w:before="100" w:beforeAutospacing="1" w:after="100" w:afterAutospacing="1"/>
    </w:pPr>
    <w:rPr>
      <w:rFonts w:eastAsia="Times New Roman"/>
      <w:lang w:val="ru-RU" w:eastAsia="ru-RU"/>
    </w:rPr>
  </w:style>
  <w:style w:type="character" w:customStyle="1" w:styleId="apple-converted-space">
    <w:name w:val="apple-converted-space"/>
    <w:basedOn w:val="a0"/>
    <w:rsid w:val="00AE638D"/>
  </w:style>
  <w:style w:type="character" w:styleId="ad">
    <w:name w:val="Hyperlink"/>
    <w:basedOn w:val="a0"/>
    <w:uiPriority w:val="99"/>
    <w:semiHidden/>
    <w:unhideWhenUsed/>
    <w:rsid w:val="00AE638D"/>
    <w:rPr>
      <w:color w:val="0000FF"/>
      <w:u w:val="single"/>
    </w:rPr>
  </w:style>
  <w:style w:type="paragraph" w:customStyle="1" w:styleId="rvps7">
    <w:name w:val="rvps7"/>
    <w:basedOn w:val="a"/>
    <w:rsid w:val="00983C27"/>
    <w:pPr>
      <w:spacing w:before="100" w:beforeAutospacing="1" w:after="100" w:afterAutospacing="1"/>
    </w:pPr>
    <w:rPr>
      <w:rFonts w:eastAsia="Times New Roman"/>
      <w:lang w:val="ru-RU" w:eastAsia="ru-RU"/>
    </w:rPr>
  </w:style>
  <w:style w:type="character" w:customStyle="1" w:styleId="rvts15">
    <w:name w:val="rvts15"/>
    <w:basedOn w:val="a0"/>
    <w:rsid w:val="00983C27"/>
  </w:style>
  <w:style w:type="paragraph" w:styleId="HTML">
    <w:name w:val="HTML Preformatted"/>
    <w:basedOn w:val="a"/>
    <w:link w:val="HTML0"/>
    <w:rsid w:val="00D72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D72E36"/>
    <w:rPr>
      <w:rFonts w:ascii="Courier New" w:eastAsia="Times New Roman" w:hAnsi="Courier New" w:cs="Courier New"/>
      <w:sz w:val="20"/>
      <w:szCs w:val="20"/>
      <w:lang w:val="uk-UA" w:eastAsia="uk-UA"/>
    </w:rPr>
  </w:style>
  <w:style w:type="paragraph" w:customStyle="1" w:styleId="Default">
    <w:name w:val="Default"/>
    <w:rsid w:val="00531F09"/>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st121">
    <w:name w:val="st121"/>
    <w:rsid w:val="00531F09"/>
    <w:rPr>
      <w:i/>
      <w:iCs/>
      <w:color w:val="000000"/>
    </w:rPr>
  </w:style>
  <w:style w:type="character" w:customStyle="1" w:styleId="st131">
    <w:name w:val="st131"/>
    <w:rsid w:val="00531F09"/>
    <w:rPr>
      <w:i/>
      <w:iCs/>
      <w:color w:val="0000FF"/>
    </w:rPr>
  </w:style>
  <w:style w:type="character" w:customStyle="1" w:styleId="st46">
    <w:name w:val="st46"/>
    <w:rsid w:val="00531F09"/>
    <w:rPr>
      <w:i/>
      <w:iCs/>
      <w:color w:val="000000"/>
    </w:rPr>
  </w:style>
  <w:style w:type="paragraph" w:customStyle="1" w:styleId="rvps14">
    <w:name w:val="rvps14"/>
    <w:basedOn w:val="a"/>
    <w:rsid w:val="00793117"/>
    <w:pPr>
      <w:spacing w:before="100" w:beforeAutospacing="1" w:after="100" w:afterAutospacing="1"/>
    </w:pPr>
    <w:rPr>
      <w:rFonts w:eastAsia="Times New Roman"/>
      <w:lang w:val="ru-RU" w:eastAsia="ru-RU"/>
    </w:rPr>
  </w:style>
  <w:style w:type="paragraph" w:customStyle="1" w:styleId="rvps12">
    <w:name w:val="rvps12"/>
    <w:basedOn w:val="a"/>
    <w:rsid w:val="00793117"/>
    <w:pPr>
      <w:spacing w:before="100" w:beforeAutospacing="1" w:after="100" w:afterAutospacing="1"/>
    </w:pPr>
    <w:rPr>
      <w:rFonts w:eastAsia="Times New Roman"/>
      <w:lang w:val="ru-RU" w:eastAsia="ru-RU"/>
    </w:rPr>
  </w:style>
  <w:style w:type="character" w:customStyle="1" w:styleId="rvts82">
    <w:name w:val="rvts82"/>
    <w:basedOn w:val="a0"/>
    <w:rsid w:val="00793117"/>
  </w:style>
  <w:style w:type="character" w:customStyle="1" w:styleId="rvts46">
    <w:name w:val="rvts46"/>
    <w:basedOn w:val="a0"/>
    <w:rsid w:val="00793117"/>
  </w:style>
  <w:style w:type="character" w:customStyle="1" w:styleId="rvts11">
    <w:name w:val="rvts11"/>
    <w:basedOn w:val="a0"/>
    <w:rsid w:val="00793117"/>
  </w:style>
  <w:style w:type="character" w:customStyle="1" w:styleId="rvts58">
    <w:name w:val="rvts58"/>
    <w:basedOn w:val="a0"/>
    <w:rsid w:val="00F00AE7"/>
  </w:style>
  <w:style w:type="paragraph" w:styleId="ae">
    <w:name w:val="No Spacing"/>
    <w:uiPriority w:val="1"/>
    <w:qFormat/>
    <w:rsid w:val="006913DE"/>
    <w:pPr>
      <w:spacing w:after="0" w:line="240" w:lineRule="auto"/>
    </w:pPr>
    <w:rPr>
      <w:rFonts w:ascii="Times New Roman" w:eastAsia="MS Mincho" w:hAnsi="Times New Roman" w:cs="Times New Roman"/>
      <w:sz w:val="24"/>
      <w:szCs w:val="24"/>
      <w:lang w:val="uk-UA" w:eastAsia="ja-JP"/>
    </w:rPr>
  </w:style>
  <w:style w:type="character" w:customStyle="1" w:styleId="10">
    <w:name w:val="Заголовок 1 Знак"/>
    <w:basedOn w:val="a0"/>
    <w:link w:val="1"/>
    <w:uiPriority w:val="9"/>
    <w:rsid w:val="006913DE"/>
    <w:rPr>
      <w:rFonts w:asciiTheme="majorHAnsi" w:eastAsiaTheme="majorEastAsia" w:hAnsiTheme="majorHAnsi" w:cstheme="majorBidi"/>
      <w:b/>
      <w:bCs/>
      <w:color w:val="365F91" w:themeColor="accent1" w:themeShade="BF"/>
      <w:sz w:val="28"/>
      <w:szCs w:val="28"/>
      <w:lang w:val="uk-UA"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B7"/>
    <w:pPr>
      <w:spacing w:after="0" w:line="240" w:lineRule="auto"/>
    </w:pPr>
    <w:rPr>
      <w:rFonts w:ascii="Times New Roman" w:eastAsia="MS Mincho" w:hAnsi="Times New Roman" w:cs="Times New Roman"/>
      <w:sz w:val="24"/>
      <w:szCs w:val="24"/>
      <w:lang w:val="uk-UA" w:eastAsia="ja-JP"/>
    </w:rPr>
  </w:style>
  <w:style w:type="paragraph" w:styleId="1">
    <w:name w:val="heading 1"/>
    <w:basedOn w:val="a"/>
    <w:next w:val="a"/>
    <w:link w:val="10"/>
    <w:uiPriority w:val="9"/>
    <w:qFormat/>
    <w:rsid w:val="006913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01C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A328AD"/>
    <w:pPr>
      <w:spacing w:before="100" w:beforeAutospacing="1" w:after="100" w:afterAutospacing="1"/>
      <w:outlineLvl w:val="2"/>
    </w:pPr>
    <w:rPr>
      <w:rFonts w:eastAsia="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533C"/>
    <w:pPr>
      <w:spacing w:before="100" w:beforeAutospacing="1" w:after="100" w:afterAutospacing="1"/>
    </w:pPr>
    <w:rPr>
      <w:rFonts w:eastAsia="Times New Roman"/>
      <w:lang w:val="ru-RU" w:eastAsia="ru-RU"/>
    </w:rPr>
  </w:style>
  <w:style w:type="paragraph" w:styleId="a4">
    <w:name w:val="header"/>
    <w:basedOn w:val="a"/>
    <w:link w:val="a5"/>
    <w:rsid w:val="00E6533C"/>
    <w:pPr>
      <w:tabs>
        <w:tab w:val="center" w:pos="4819"/>
        <w:tab w:val="right" w:pos="9639"/>
      </w:tabs>
    </w:pPr>
    <w:rPr>
      <w:rFonts w:eastAsia="Times New Roman"/>
      <w:sz w:val="28"/>
      <w:szCs w:val="20"/>
      <w:lang w:val="ru-RU" w:eastAsia="ru-RU"/>
    </w:rPr>
  </w:style>
  <w:style w:type="character" w:customStyle="1" w:styleId="a5">
    <w:name w:val="Верхний колонтитул Знак"/>
    <w:basedOn w:val="a0"/>
    <w:link w:val="a4"/>
    <w:rsid w:val="00E6533C"/>
    <w:rPr>
      <w:rFonts w:ascii="Times New Roman" w:eastAsia="Times New Roman" w:hAnsi="Times New Roman" w:cs="Times New Roman"/>
      <w:sz w:val="28"/>
      <w:szCs w:val="20"/>
      <w:lang w:eastAsia="ru-RU"/>
    </w:rPr>
  </w:style>
  <w:style w:type="character" w:styleId="a6">
    <w:name w:val="page number"/>
    <w:basedOn w:val="a0"/>
    <w:rsid w:val="00E6533C"/>
  </w:style>
  <w:style w:type="paragraph" w:styleId="a7">
    <w:name w:val="Body Text"/>
    <w:basedOn w:val="a"/>
    <w:link w:val="a8"/>
    <w:rsid w:val="00E6533C"/>
    <w:pPr>
      <w:jc w:val="both"/>
    </w:pPr>
    <w:rPr>
      <w:rFonts w:eastAsia="Times New Roman"/>
      <w:sz w:val="28"/>
      <w:szCs w:val="20"/>
      <w:lang w:eastAsia="ru-RU"/>
    </w:rPr>
  </w:style>
  <w:style w:type="character" w:customStyle="1" w:styleId="a8">
    <w:name w:val="Основной текст Знак"/>
    <w:basedOn w:val="a0"/>
    <w:link w:val="a7"/>
    <w:rsid w:val="00E6533C"/>
    <w:rPr>
      <w:rFonts w:ascii="Times New Roman" w:eastAsia="Times New Roman" w:hAnsi="Times New Roman" w:cs="Times New Roman"/>
      <w:sz w:val="28"/>
      <w:szCs w:val="20"/>
      <w:lang w:val="uk-UA" w:eastAsia="ru-RU"/>
    </w:rPr>
  </w:style>
  <w:style w:type="paragraph" w:styleId="a9">
    <w:name w:val="List Paragraph"/>
    <w:basedOn w:val="a"/>
    <w:uiPriority w:val="34"/>
    <w:qFormat/>
    <w:rsid w:val="00F0317A"/>
    <w:pPr>
      <w:ind w:left="720"/>
      <w:contextualSpacing/>
    </w:pPr>
  </w:style>
  <w:style w:type="character" w:customStyle="1" w:styleId="30">
    <w:name w:val="Заголовок 3 Знак"/>
    <w:basedOn w:val="a0"/>
    <w:link w:val="3"/>
    <w:rsid w:val="00A328AD"/>
    <w:rPr>
      <w:rFonts w:ascii="Times New Roman" w:eastAsia="Times New Roman" w:hAnsi="Times New Roman" w:cs="Times New Roman"/>
      <w:b/>
      <w:bCs/>
      <w:sz w:val="27"/>
      <w:szCs w:val="27"/>
      <w:lang w:val="uk-UA" w:eastAsia="uk-UA"/>
    </w:rPr>
  </w:style>
  <w:style w:type="table" w:styleId="aa">
    <w:name w:val="Table Grid"/>
    <w:basedOn w:val="a1"/>
    <w:rsid w:val="00D957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semiHidden/>
    <w:unhideWhenUsed/>
    <w:rsid w:val="006B3BED"/>
    <w:pPr>
      <w:tabs>
        <w:tab w:val="center" w:pos="4677"/>
        <w:tab w:val="right" w:pos="9355"/>
      </w:tabs>
    </w:pPr>
  </w:style>
  <w:style w:type="character" w:customStyle="1" w:styleId="ac">
    <w:name w:val="Нижний колонтитул Знак"/>
    <w:basedOn w:val="a0"/>
    <w:link w:val="ab"/>
    <w:uiPriority w:val="99"/>
    <w:semiHidden/>
    <w:rsid w:val="006B3BED"/>
    <w:rPr>
      <w:rFonts w:ascii="Times New Roman" w:eastAsia="MS Mincho" w:hAnsi="Times New Roman" w:cs="Times New Roman"/>
      <w:sz w:val="24"/>
      <w:szCs w:val="24"/>
      <w:lang w:val="uk-UA" w:eastAsia="ja-JP"/>
    </w:rPr>
  </w:style>
  <w:style w:type="character" w:customStyle="1" w:styleId="20">
    <w:name w:val="Заголовок 2 Знак"/>
    <w:basedOn w:val="a0"/>
    <w:link w:val="2"/>
    <w:uiPriority w:val="9"/>
    <w:rsid w:val="00401CDF"/>
    <w:rPr>
      <w:rFonts w:asciiTheme="majorHAnsi" w:eastAsiaTheme="majorEastAsia" w:hAnsiTheme="majorHAnsi" w:cstheme="majorBidi"/>
      <w:b/>
      <w:bCs/>
      <w:color w:val="4F81BD" w:themeColor="accent1"/>
      <w:sz w:val="26"/>
      <w:szCs w:val="26"/>
      <w:lang w:val="uk-UA" w:eastAsia="ja-JP"/>
    </w:rPr>
  </w:style>
  <w:style w:type="paragraph" w:customStyle="1" w:styleId="rvps2">
    <w:name w:val="rvps2"/>
    <w:basedOn w:val="a"/>
    <w:rsid w:val="000F7C37"/>
    <w:pPr>
      <w:spacing w:before="100" w:beforeAutospacing="1" w:after="100" w:afterAutospacing="1"/>
    </w:pPr>
    <w:rPr>
      <w:rFonts w:eastAsia="Times New Roman"/>
      <w:lang w:val="ru-RU" w:eastAsia="ru-RU"/>
    </w:rPr>
  </w:style>
  <w:style w:type="character" w:customStyle="1" w:styleId="apple-converted-space">
    <w:name w:val="apple-converted-space"/>
    <w:basedOn w:val="a0"/>
    <w:rsid w:val="00AE638D"/>
  </w:style>
  <w:style w:type="character" w:styleId="ad">
    <w:name w:val="Hyperlink"/>
    <w:basedOn w:val="a0"/>
    <w:uiPriority w:val="99"/>
    <w:semiHidden/>
    <w:unhideWhenUsed/>
    <w:rsid w:val="00AE638D"/>
    <w:rPr>
      <w:color w:val="0000FF"/>
      <w:u w:val="single"/>
    </w:rPr>
  </w:style>
  <w:style w:type="paragraph" w:customStyle="1" w:styleId="rvps7">
    <w:name w:val="rvps7"/>
    <w:basedOn w:val="a"/>
    <w:rsid w:val="00983C27"/>
    <w:pPr>
      <w:spacing w:before="100" w:beforeAutospacing="1" w:after="100" w:afterAutospacing="1"/>
    </w:pPr>
    <w:rPr>
      <w:rFonts w:eastAsia="Times New Roman"/>
      <w:lang w:val="ru-RU" w:eastAsia="ru-RU"/>
    </w:rPr>
  </w:style>
  <w:style w:type="character" w:customStyle="1" w:styleId="rvts15">
    <w:name w:val="rvts15"/>
    <w:basedOn w:val="a0"/>
    <w:rsid w:val="00983C27"/>
  </w:style>
  <w:style w:type="paragraph" w:styleId="HTML">
    <w:name w:val="HTML Preformatted"/>
    <w:basedOn w:val="a"/>
    <w:link w:val="HTML0"/>
    <w:rsid w:val="00D72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D72E36"/>
    <w:rPr>
      <w:rFonts w:ascii="Courier New" w:eastAsia="Times New Roman" w:hAnsi="Courier New" w:cs="Courier New"/>
      <w:sz w:val="20"/>
      <w:szCs w:val="20"/>
      <w:lang w:val="uk-UA" w:eastAsia="uk-UA"/>
    </w:rPr>
  </w:style>
  <w:style w:type="paragraph" w:customStyle="1" w:styleId="Default">
    <w:name w:val="Default"/>
    <w:rsid w:val="00531F09"/>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st121">
    <w:name w:val="st121"/>
    <w:rsid w:val="00531F09"/>
    <w:rPr>
      <w:i/>
      <w:iCs/>
      <w:color w:val="000000"/>
    </w:rPr>
  </w:style>
  <w:style w:type="character" w:customStyle="1" w:styleId="st131">
    <w:name w:val="st131"/>
    <w:rsid w:val="00531F09"/>
    <w:rPr>
      <w:i/>
      <w:iCs/>
      <w:color w:val="0000FF"/>
    </w:rPr>
  </w:style>
  <w:style w:type="character" w:customStyle="1" w:styleId="st46">
    <w:name w:val="st46"/>
    <w:rsid w:val="00531F09"/>
    <w:rPr>
      <w:i/>
      <w:iCs/>
      <w:color w:val="000000"/>
    </w:rPr>
  </w:style>
  <w:style w:type="paragraph" w:customStyle="1" w:styleId="rvps14">
    <w:name w:val="rvps14"/>
    <w:basedOn w:val="a"/>
    <w:rsid w:val="00793117"/>
    <w:pPr>
      <w:spacing w:before="100" w:beforeAutospacing="1" w:after="100" w:afterAutospacing="1"/>
    </w:pPr>
    <w:rPr>
      <w:rFonts w:eastAsia="Times New Roman"/>
      <w:lang w:val="ru-RU" w:eastAsia="ru-RU"/>
    </w:rPr>
  </w:style>
  <w:style w:type="paragraph" w:customStyle="1" w:styleId="rvps12">
    <w:name w:val="rvps12"/>
    <w:basedOn w:val="a"/>
    <w:rsid w:val="00793117"/>
    <w:pPr>
      <w:spacing w:before="100" w:beforeAutospacing="1" w:after="100" w:afterAutospacing="1"/>
    </w:pPr>
    <w:rPr>
      <w:rFonts w:eastAsia="Times New Roman"/>
      <w:lang w:val="ru-RU" w:eastAsia="ru-RU"/>
    </w:rPr>
  </w:style>
  <w:style w:type="character" w:customStyle="1" w:styleId="rvts82">
    <w:name w:val="rvts82"/>
    <w:basedOn w:val="a0"/>
    <w:rsid w:val="00793117"/>
  </w:style>
  <w:style w:type="character" w:customStyle="1" w:styleId="rvts46">
    <w:name w:val="rvts46"/>
    <w:basedOn w:val="a0"/>
    <w:rsid w:val="00793117"/>
  </w:style>
  <w:style w:type="character" w:customStyle="1" w:styleId="rvts11">
    <w:name w:val="rvts11"/>
    <w:basedOn w:val="a0"/>
    <w:rsid w:val="00793117"/>
  </w:style>
  <w:style w:type="character" w:customStyle="1" w:styleId="rvts58">
    <w:name w:val="rvts58"/>
    <w:basedOn w:val="a0"/>
    <w:rsid w:val="00F00AE7"/>
  </w:style>
  <w:style w:type="paragraph" w:styleId="ae">
    <w:name w:val="No Spacing"/>
    <w:uiPriority w:val="1"/>
    <w:qFormat/>
    <w:rsid w:val="006913DE"/>
    <w:pPr>
      <w:spacing w:after="0" w:line="240" w:lineRule="auto"/>
    </w:pPr>
    <w:rPr>
      <w:rFonts w:ascii="Times New Roman" w:eastAsia="MS Mincho" w:hAnsi="Times New Roman" w:cs="Times New Roman"/>
      <w:sz w:val="24"/>
      <w:szCs w:val="24"/>
      <w:lang w:val="uk-UA" w:eastAsia="ja-JP"/>
    </w:rPr>
  </w:style>
  <w:style w:type="character" w:customStyle="1" w:styleId="10">
    <w:name w:val="Заголовок 1 Знак"/>
    <w:basedOn w:val="a0"/>
    <w:link w:val="1"/>
    <w:uiPriority w:val="9"/>
    <w:rsid w:val="006913DE"/>
    <w:rPr>
      <w:rFonts w:asciiTheme="majorHAnsi" w:eastAsiaTheme="majorEastAsia" w:hAnsiTheme="majorHAnsi" w:cstheme="majorBidi"/>
      <w:b/>
      <w:bCs/>
      <w:color w:val="365F91" w:themeColor="accent1" w:themeShade="BF"/>
      <w:sz w:val="28"/>
      <w:szCs w:val="28"/>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18656">
      <w:bodyDiv w:val="1"/>
      <w:marLeft w:val="0"/>
      <w:marRight w:val="0"/>
      <w:marTop w:val="0"/>
      <w:marBottom w:val="0"/>
      <w:divBdr>
        <w:top w:val="none" w:sz="0" w:space="0" w:color="auto"/>
        <w:left w:val="none" w:sz="0" w:space="0" w:color="auto"/>
        <w:bottom w:val="none" w:sz="0" w:space="0" w:color="auto"/>
        <w:right w:val="none" w:sz="0" w:space="0" w:color="auto"/>
      </w:divBdr>
      <w:divsChild>
        <w:div w:id="2143187595">
          <w:marLeft w:val="0"/>
          <w:marRight w:val="0"/>
          <w:marTop w:val="0"/>
          <w:marBottom w:val="150"/>
          <w:divBdr>
            <w:top w:val="none" w:sz="0" w:space="0" w:color="auto"/>
            <w:left w:val="none" w:sz="0" w:space="0" w:color="auto"/>
            <w:bottom w:val="none" w:sz="0" w:space="0" w:color="auto"/>
            <w:right w:val="none" w:sz="0" w:space="0" w:color="auto"/>
          </w:divBdr>
        </w:div>
        <w:div w:id="2035381977">
          <w:marLeft w:val="0"/>
          <w:marRight w:val="0"/>
          <w:marTop w:val="0"/>
          <w:marBottom w:val="150"/>
          <w:divBdr>
            <w:top w:val="none" w:sz="0" w:space="0" w:color="auto"/>
            <w:left w:val="none" w:sz="0" w:space="0" w:color="auto"/>
            <w:bottom w:val="none" w:sz="0" w:space="0" w:color="auto"/>
            <w:right w:val="none" w:sz="0" w:space="0" w:color="auto"/>
          </w:divBdr>
        </w:div>
        <w:div w:id="4483350">
          <w:marLeft w:val="0"/>
          <w:marRight w:val="0"/>
          <w:marTop w:val="150"/>
          <w:marBottom w:val="150"/>
          <w:divBdr>
            <w:top w:val="none" w:sz="0" w:space="0" w:color="auto"/>
            <w:left w:val="none" w:sz="0" w:space="0" w:color="auto"/>
            <w:bottom w:val="none" w:sz="0" w:space="0" w:color="auto"/>
            <w:right w:val="none" w:sz="0" w:space="0" w:color="auto"/>
          </w:divBdr>
        </w:div>
      </w:divsChild>
    </w:div>
    <w:div w:id="542522646">
      <w:bodyDiv w:val="1"/>
      <w:marLeft w:val="0"/>
      <w:marRight w:val="0"/>
      <w:marTop w:val="0"/>
      <w:marBottom w:val="0"/>
      <w:divBdr>
        <w:top w:val="none" w:sz="0" w:space="0" w:color="auto"/>
        <w:left w:val="none" w:sz="0" w:space="0" w:color="auto"/>
        <w:bottom w:val="none" w:sz="0" w:space="0" w:color="auto"/>
        <w:right w:val="none" w:sz="0" w:space="0" w:color="auto"/>
      </w:divBdr>
    </w:div>
    <w:div w:id="635796098">
      <w:bodyDiv w:val="1"/>
      <w:marLeft w:val="0"/>
      <w:marRight w:val="0"/>
      <w:marTop w:val="0"/>
      <w:marBottom w:val="0"/>
      <w:divBdr>
        <w:top w:val="none" w:sz="0" w:space="0" w:color="auto"/>
        <w:left w:val="none" w:sz="0" w:space="0" w:color="auto"/>
        <w:bottom w:val="none" w:sz="0" w:space="0" w:color="auto"/>
        <w:right w:val="none" w:sz="0" w:space="0" w:color="auto"/>
      </w:divBdr>
    </w:div>
    <w:div w:id="814837580">
      <w:bodyDiv w:val="1"/>
      <w:marLeft w:val="0"/>
      <w:marRight w:val="0"/>
      <w:marTop w:val="0"/>
      <w:marBottom w:val="0"/>
      <w:divBdr>
        <w:top w:val="none" w:sz="0" w:space="0" w:color="auto"/>
        <w:left w:val="none" w:sz="0" w:space="0" w:color="auto"/>
        <w:bottom w:val="none" w:sz="0" w:space="0" w:color="auto"/>
        <w:right w:val="none" w:sz="0" w:space="0" w:color="auto"/>
      </w:divBdr>
      <w:divsChild>
        <w:div w:id="391392736">
          <w:marLeft w:val="0"/>
          <w:marRight w:val="0"/>
          <w:marTop w:val="0"/>
          <w:marBottom w:val="150"/>
          <w:divBdr>
            <w:top w:val="none" w:sz="0" w:space="0" w:color="auto"/>
            <w:left w:val="none" w:sz="0" w:space="0" w:color="auto"/>
            <w:bottom w:val="none" w:sz="0" w:space="0" w:color="auto"/>
            <w:right w:val="none" w:sz="0" w:space="0" w:color="auto"/>
          </w:divBdr>
        </w:div>
        <w:div w:id="2023585920">
          <w:marLeft w:val="0"/>
          <w:marRight w:val="0"/>
          <w:marTop w:val="0"/>
          <w:marBottom w:val="150"/>
          <w:divBdr>
            <w:top w:val="none" w:sz="0" w:space="0" w:color="auto"/>
            <w:left w:val="none" w:sz="0" w:space="0" w:color="auto"/>
            <w:bottom w:val="none" w:sz="0" w:space="0" w:color="auto"/>
            <w:right w:val="none" w:sz="0" w:space="0" w:color="auto"/>
          </w:divBdr>
        </w:div>
        <w:div w:id="2083479707">
          <w:marLeft w:val="0"/>
          <w:marRight w:val="0"/>
          <w:marTop w:val="0"/>
          <w:marBottom w:val="150"/>
          <w:divBdr>
            <w:top w:val="none" w:sz="0" w:space="0" w:color="auto"/>
            <w:left w:val="none" w:sz="0" w:space="0" w:color="auto"/>
            <w:bottom w:val="none" w:sz="0" w:space="0" w:color="auto"/>
            <w:right w:val="none" w:sz="0" w:space="0" w:color="auto"/>
          </w:divBdr>
        </w:div>
        <w:div w:id="853957997">
          <w:marLeft w:val="0"/>
          <w:marRight w:val="0"/>
          <w:marTop w:val="150"/>
          <w:marBottom w:val="150"/>
          <w:divBdr>
            <w:top w:val="none" w:sz="0" w:space="0" w:color="auto"/>
            <w:left w:val="none" w:sz="0" w:space="0" w:color="auto"/>
            <w:bottom w:val="none" w:sz="0" w:space="0" w:color="auto"/>
            <w:right w:val="none" w:sz="0" w:space="0" w:color="auto"/>
          </w:divBdr>
        </w:div>
      </w:divsChild>
    </w:div>
    <w:div w:id="1572740689">
      <w:bodyDiv w:val="1"/>
      <w:marLeft w:val="0"/>
      <w:marRight w:val="0"/>
      <w:marTop w:val="0"/>
      <w:marBottom w:val="0"/>
      <w:divBdr>
        <w:top w:val="none" w:sz="0" w:space="0" w:color="auto"/>
        <w:left w:val="none" w:sz="0" w:space="0" w:color="auto"/>
        <w:bottom w:val="none" w:sz="0" w:space="0" w:color="auto"/>
        <w:right w:val="none" w:sz="0" w:space="0" w:color="auto"/>
      </w:divBdr>
    </w:div>
    <w:div w:id="1584726827">
      <w:bodyDiv w:val="1"/>
      <w:marLeft w:val="0"/>
      <w:marRight w:val="0"/>
      <w:marTop w:val="0"/>
      <w:marBottom w:val="0"/>
      <w:divBdr>
        <w:top w:val="none" w:sz="0" w:space="0" w:color="auto"/>
        <w:left w:val="none" w:sz="0" w:space="0" w:color="auto"/>
        <w:bottom w:val="none" w:sz="0" w:space="0" w:color="auto"/>
        <w:right w:val="none" w:sz="0" w:space="0" w:color="auto"/>
      </w:divBdr>
    </w:div>
    <w:div w:id="1738548335">
      <w:bodyDiv w:val="1"/>
      <w:marLeft w:val="0"/>
      <w:marRight w:val="0"/>
      <w:marTop w:val="0"/>
      <w:marBottom w:val="0"/>
      <w:divBdr>
        <w:top w:val="none" w:sz="0" w:space="0" w:color="auto"/>
        <w:left w:val="none" w:sz="0" w:space="0" w:color="auto"/>
        <w:bottom w:val="none" w:sz="0" w:space="0" w:color="auto"/>
        <w:right w:val="none" w:sz="0" w:space="0" w:color="auto"/>
      </w:divBdr>
    </w:div>
    <w:div w:id="1764909358">
      <w:bodyDiv w:val="1"/>
      <w:marLeft w:val="0"/>
      <w:marRight w:val="0"/>
      <w:marTop w:val="0"/>
      <w:marBottom w:val="0"/>
      <w:divBdr>
        <w:top w:val="none" w:sz="0" w:space="0" w:color="auto"/>
        <w:left w:val="none" w:sz="0" w:space="0" w:color="auto"/>
        <w:bottom w:val="none" w:sz="0" w:space="0" w:color="auto"/>
        <w:right w:val="none" w:sz="0" w:space="0" w:color="auto"/>
      </w:divBdr>
    </w:div>
    <w:div w:id="1895893296">
      <w:bodyDiv w:val="1"/>
      <w:marLeft w:val="0"/>
      <w:marRight w:val="0"/>
      <w:marTop w:val="0"/>
      <w:marBottom w:val="0"/>
      <w:divBdr>
        <w:top w:val="none" w:sz="0" w:space="0" w:color="auto"/>
        <w:left w:val="none" w:sz="0" w:space="0" w:color="auto"/>
        <w:bottom w:val="none" w:sz="0" w:space="0" w:color="auto"/>
        <w:right w:val="none" w:sz="0" w:space="0" w:color="auto"/>
      </w:divBdr>
    </w:div>
    <w:div w:id="19127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6F657-A9B1-455A-A4AB-625E9D23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23238</Words>
  <Characters>13246</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r.kshanovska</dc:creator>
  <cp:lastModifiedBy>Елена Великая</cp:lastModifiedBy>
  <cp:revision>21</cp:revision>
  <cp:lastPrinted>2014-10-09T12:58:00Z</cp:lastPrinted>
  <dcterms:created xsi:type="dcterms:W3CDTF">2014-12-09T11:23:00Z</dcterms:created>
  <dcterms:modified xsi:type="dcterms:W3CDTF">2014-12-09T13:02:00Z</dcterms:modified>
</cp:coreProperties>
</file>