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5C42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95C4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 З ЦІННИХ ПАПЕРІВ ТА ФОНДОВОГО РИНКУ</w:t>
      </w:r>
    </w:p>
    <w:p w:rsidR="00000000" w:rsidRDefault="00495C4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000000">
        <w:trPr>
          <w:tblCellSpacing w:w="22" w:type="dxa"/>
        </w:trPr>
        <w:tc>
          <w:tcPr>
            <w:tcW w:w="1750" w:type="pct"/>
            <w:hideMark/>
          </w:tcPr>
          <w:p w:rsidR="00000000" w:rsidRDefault="00495C42">
            <w:pPr>
              <w:pStyle w:val="a3"/>
              <w:jc w:val="center"/>
            </w:pPr>
            <w:r>
              <w:rPr>
                <w:b/>
                <w:bCs/>
              </w:rPr>
              <w:t>24.10.2013</w:t>
            </w:r>
          </w:p>
        </w:tc>
        <w:tc>
          <w:tcPr>
            <w:tcW w:w="1500" w:type="pct"/>
            <w:hideMark/>
          </w:tcPr>
          <w:p w:rsidR="00000000" w:rsidRDefault="00495C42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000000" w:rsidRDefault="00495C42">
            <w:pPr>
              <w:pStyle w:val="a3"/>
              <w:jc w:val="center"/>
            </w:pPr>
            <w:r>
              <w:rPr>
                <w:b/>
                <w:bCs/>
              </w:rPr>
              <w:t>N 2410</w:t>
            </w:r>
          </w:p>
        </w:tc>
      </w:tr>
    </w:tbl>
    <w:p w:rsidR="00000000" w:rsidRDefault="00495C4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495C42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13 листопада 2013 р. за N 1947/24479</w:t>
      </w:r>
    </w:p>
    <w:p w:rsidR="00000000" w:rsidRDefault="00495C4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 xml:space="preserve">Про внесення змін до деяких нормативних актів </w:t>
      </w:r>
    </w:p>
    <w:p w:rsidR="00000000" w:rsidRDefault="00495C42">
      <w:pPr>
        <w:pStyle w:val="a3"/>
        <w:jc w:val="both"/>
      </w:pPr>
      <w:r>
        <w:t xml:space="preserve">Відповідно до абзацу другого </w:t>
      </w:r>
      <w:r>
        <w:rPr>
          <w:color w:val="0000FF"/>
        </w:rPr>
        <w:t>статті 3</w:t>
      </w:r>
      <w:r>
        <w:t xml:space="preserve">, </w:t>
      </w:r>
      <w:r>
        <w:rPr>
          <w:color w:val="0000FF"/>
        </w:rPr>
        <w:t>пунктів 1</w:t>
      </w:r>
      <w:r>
        <w:t xml:space="preserve"> та </w:t>
      </w:r>
      <w:r>
        <w:rPr>
          <w:color w:val="0000FF"/>
        </w:rPr>
        <w:t>5 частини першої</w:t>
      </w:r>
      <w:r>
        <w:t xml:space="preserve">, </w:t>
      </w:r>
      <w:r>
        <w:rPr>
          <w:color w:val="0000FF"/>
        </w:rPr>
        <w:t>пунктів 27</w:t>
      </w:r>
      <w:r>
        <w:t xml:space="preserve"> та </w:t>
      </w:r>
      <w:r>
        <w:rPr>
          <w:color w:val="0000FF"/>
        </w:rPr>
        <w:t>37</w:t>
      </w:r>
      <w:r>
        <w:rPr>
          <w:color w:val="0000FF"/>
          <w:vertAlign w:val="superscript"/>
        </w:rPr>
        <w:t>6</w:t>
      </w:r>
      <w:r>
        <w:rPr>
          <w:color w:val="0000FF"/>
        </w:rPr>
        <w:t xml:space="preserve"> частини другої статті 7</w:t>
      </w:r>
      <w:r>
        <w:t xml:space="preserve">, </w:t>
      </w:r>
      <w:r>
        <w:rPr>
          <w:color w:val="0000FF"/>
        </w:rPr>
        <w:t>пункту 13 статті 8 Закону України "Про державне регулювання ринку цінних паперів в Україні"</w:t>
      </w:r>
      <w:r>
        <w:t xml:space="preserve">, </w:t>
      </w:r>
      <w:r>
        <w:rPr>
          <w:color w:val="0000FF"/>
        </w:rPr>
        <w:t>статей 16</w:t>
      </w:r>
      <w:r>
        <w:t xml:space="preserve">, </w:t>
      </w:r>
      <w:r>
        <w:rPr>
          <w:color w:val="0000FF"/>
        </w:rPr>
        <w:t xml:space="preserve">17 Закону України "Про цінні папери та </w:t>
      </w:r>
      <w:r>
        <w:rPr>
          <w:color w:val="0000FF"/>
        </w:rPr>
        <w:t>фондовий ринок"</w:t>
      </w:r>
      <w:r>
        <w:t xml:space="preserve">, </w:t>
      </w:r>
      <w:r>
        <w:rPr>
          <w:color w:val="0000FF"/>
        </w:rPr>
        <w:t>Закону України "Про засади державної регуляторної політики у сфері господарської діяльності"</w:t>
      </w:r>
      <w:r>
        <w:t xml:space="preserve"> Національна комісія з цінних паперів та фондового ринку </w:t>
      </w:r>
    </w:p>
    <w:p w:rsidR="00000000" w:rsidRDefault="00495C42">
      <w:pPr>
        <w:pStyle w:val="a3"/>
        <w:jc w:val="both"/>
      </w:pPr>
      <w:r>
        <w:rPr>
          <w:b/>
          <w:bCs/>
        </w:rPr>
        <w:t>ВИРІШИЛА:</w:t>
      </w:r>
    </w:p>
    <w:p w:rsidR="00000000" w:rsidRDefault="00495C42">
      <w:pPr>
        <w:pStyle w:val="a3"/>
        <w:jc w:val="both"/>
      </w:pPr>
      <w:r>
        <w:t>1. Унести до Правил (умов) здійснення діяльності з торгівлі цінними паперами: б</w:t>
      </w:r>
      <w:r>
        <w:t xml:space="preserve">рокерської діяльності, дилерської діяльності, андеррайтингу, управління цінними паперами, затверджених </w:t>
      </w:r>
      <w:r>
        <w:rPr>
          <w:color w:val="0000FF"/>
        </w:rPr>
        <w:t>рішенням Державної комісії з цінних паперів та фондового ринку від 12 грудня 2006 року N 1449</w:t>
      </w:r>
      <w:r>
        <w:t>, зареєстрованих у Міністерстві юстиції України 23 січня 200</w:t>
      </w:r>
      <w:r>
        <w:t xml:space="preserve">7 року за N 52/13319 (у редакції </w:t>
      </w:r>
      <w:r>
        <w:rPr>
          <w:color w:val="0000FF"/>
        </w:rPr>
        <w:t>рішення Державної комісії з цінних паперів та фондового ринку від 15 листопада 2011 року N 1638</w:t>
      </w:r>
      <w:r>
        <w:t>) (далі - Правила), такі зміни:</w:t>
      </w:r>
    </w:p>
    <w:p w:rsidR="00000000" w:rsidRDefault="00495C42">
      <w:pPr>
        <w:pStyle w:val="a3"/>
        <w:jc w:val="both"/>
      </w:pPr>
      <w:r>
        <w:t>1) абзац тринадцятий пункту 3 розділу III викласти в такій редакції:</w:t>
      </w:r>
    </w:p>
    <w:p w:rsidR="00000000" w:rsidRDefault="00495C42">
      <w:pPr>
        <w:pStyle w:val="a3"/>
        <w:jc w:val="both"/>
      </w:pPr>
      <w:r>
        <w:t>"підтвердження, що інформац</w:t>
      </w:r>
      <w:r>
        <w:t xml:space="preserve">ія, зазначена в </w:t>
      </w:r>
      <w:r>
        <w:rPr>
          <w:color w:val="0000FF"/>
        </w:rPr>
        <w:t>частині другій статті 12 Закону України "Про фінансові послуги та державне регулювання ринків фінансових послуг"</w:t>
      </w:r>
      <w:r>
        <w:t>, надана клієнту,";</w:t>
      </w:r>
    </w:p>
    <w:p w:rsidR="00000000" w:rsidRDefault="00495C42">
      <w:pPr>
        <w:pStyle w:val="a3"/>
        <w:jc w:val="both"/>
      </w:pPr>
      <w:r>
        <w:t>2) у розділі XIV:</w:t>
      </w:r>
    </w:p>
    <w:p w:rsidR="00000000" w:rsidRDefault="00495C42">
      <w:pPr>
        <w:pStyle w:val="a3"/>
        <w:jc w:val="both"/>
      </w:pPr>
      <w:r>
        <w:t>у підпункті "і" пункту 1 слова та цифри "пунктом 6 розділу XIV" замінити словами та цифрами "пунктом 6 розділу XV";</w:t>
      </w:r>
    </w:p>
    <w:p w:rsidR="00000000" w:rsidRDefault="00495C42">
      <w:pPr>
        <w:pStyle w:val="a3"/>
        <w:jc w:val="both"/>
      </w:pPr>
      <w:r>
        <w:t>у пункті 16:</w:t>
      </w:r>
    </w:p>
    <w:p w:rsidR="00000000" w:rsidRDefault="00495C42">
      <w:pPr>
        <w:pStyle w:val="a3"/>
        <w:jc w:val="both"/>
      </w:pPr>
      <w:r>
        <w:t>у підпункті "в" слова та цифри "зазначених в підпункті "г" пункту 13 цього розділу" замінити словами "зазначених в підпункті "г</w:t>
      </w:r>
      <w:r>
        <w:t>" цього пункту";</w:t>
      </w:r>
    </w:p>
    <w:p w:rsidR="00000000" w:rsidRDefault="00495C42">
      <w:pPr>
        <w:pStyle w:val="a3"/>
        <w:jc w:val="both"/>
      </w:pPr>
      <w:r>
        <w:lastRenderedPageBreak/>
        <w:t>доповнити підпункт "д" після слів "набувати цінні папери" словами "та інші фінансові інструменти";</w:t>
      </w:r>
    </w:p>
    <w:p w:rsidR="00000000" w:rsidRDefault="00495C42">
      <w:pPr>
        <w:pStyle w:val="a3"/>
        <w:jc w:val="both"/>
      </w:pPr>
      <w:r>
        <w:t>доповнити підпункт "е" після слів "відчужувати цінні папери" словами "та інші фінансові інструменти";</w:t>
      </w:r>
    </w:p>
    <w:p w:rsidR="00000000" w:rsidRDefault="00495C42">
      <w:pPr>
        <w:pStyle w:val="a3"/>
        <w:jc w:val="both"/>
      </w:pPr>
      <w:r>
        <w:t>у пункті 17:</w:t>
      </w:r>
    </w:p>
    <w:p w:rsidR="00000000" w:rsidRDefault="00495C42">
      <w:pPr>
        <w:pStyle w:val="a3"/>
        <w:jc w:val="both"/>
      </w:pPr>
      <w:r>
        <w:t>в абзаці першому слова та</w:t>
      </w:r>
      <w:r>
        <w:t xml:space="preserve"> цифри "у пункті 13" замінити словами та цифрами "у пункті 16";</w:t>
      </w:r>
    </w:p>
    <w:p w:rsidR="00000000" w:rsidRDefault="00495C42">
      <w:pPr>
        <w:pStyle w:val="a3"/>
        <w:jc w:val="both"/>
      </w:pPr>
      <w:r>
        <w:t>доповнити підпункт "ґ" після слів "цінні папери" словами "та інші фінансові інструменти";</w:t>
      </w:r>
    </w:p>
    <w:p w:rsidR="00000000" w:rsidRDefault="00495C42">
      <w:pPr>
        <w:pStyle w:val="a3"/>
        <w:jc w:val="both"/>
      </w:pPr>
      <w:r>
        <w:t>доповнити підпункт "е" після слів "передавати управління цінними паперами" словами ", іншими фінансови</w:t>
      </w:r>
      <w:r>
        <w:t>ми інструментами";</w:t>
      </w:r>
    </w:p>
    <w:p w:rsidR="00000000" w:rsidRDefault="00495C42">
      <w:pPr>
        <w:pStyle w:val="a3"/>
        <w:jc w:val="both"/>
      </w:pPr>
      <w:r>
        <w:t>в абзаці сьомому пункту 22 слово та цифри "розділу XIV" замінити словом та цифрами "розділу XV".</w:t>
      </w:r>
    </w:p>
    <w:p w:rsidR="00000000" w:rsidRDefault="00495C42">
      <w:pPr>
        <w:pStyle w:val="a3"/>
        <w:jc w:val="both"/>
      </w:pPr>
      <w:r>
        <w:t>2. Унести до Порядку погодження кандидатур керівників фондових бірж та депозитаріїв і вимог до таких керівників під час їх перебування на по</w:t>
      </w:r>
      <w:r>
        <w:t xml:space="preserve">саді, затверджених </w:t>
      </w:r>
      <w:r>
        <w:rPr>
          <w:color w:val="0000FF"/>
        </w:rPr>
        <w:t>рішенням Національної комісії з цінних паперів та фондового ринку від 22 січня 2013 року N 64</w:t>
      </w:r>
      <w:r>
        <w:t>, зареєстрованих в Міністерстві юстиції України 14 лютого 2013 року за N 269/22801, такі зміни:</w:t>
      </w:r>
    </w:p>
    <w:p w:rsidR="00000000" w:rsidRDefault="00495C42">
      <w:pPr>
        <w:pStyle w:val="a3"/>
        <w:jc w:val="both"/>
      </w:pPr>
      <w:r>
        <w:t>1) у пункті 1 розділу IV:</w:t>
      </w:r>
    </w:p>
    <w:p w:rsidR="00000000" w:rsidRDefault="00495C42">
      <w:pPr>
        <w:pStyle w:val="a3"/>
        <w:jc w:val="both"/>
      </w:pPr>
      <w:r>
        <w:t>в абзаці першому слова</w:t>
      </w:r>
      <w:r>
        <w:t xml:space="preserve"> та цифри "у строк не більше 30 робочих днів" замінити словами та цифрами "у строк не більше 30 календарних днів";</w:t>
      </w:r>
    </w:p>
    <w:p w:rsidR="00000000" w:rsidRDefault="00495C42">
      <w:pPr>
        <w:pStyle w:val="a3"/>
        <w:jc w:val="both"/>
      </w:pPr>
      <w:r>
        <w:t>в абзаці другому слова та цифри "строк розгляду документів може бути продовжений, але не більше ніж до 45 робочих днів від дати отримання зая</w:t>
      </w:r>
      <w:r>
        <w:t>ви" замінити словами "він зобов'язаний протягом наступного робочого дня повідомити Комісію про ці зміни";</w:t>
      </w:r>
    </w:p>
    <w:p w:rsidR="00000000" w:rsidRDefault="00495C42">
      <w:pPr>
        <w:pStyle w:val="a3"/>
        <w:jc w:val="both"/>
      </w:pPr>
      <w:r>
        <w:t xml:space="preserve">2) у пункті 1 розділу V слова та цифри "встановленим пунктом 3 розділу III цього Порядку" замінити словами та цифрами "встановленим пунктом 2 розділу </w:t>
      </w:r>
      <w:r>
        <w:t>III цього Порядку".</w:t>
      </w:r>
    </w:p>
    <w:p w:rsidR="00000000" w:rsidRDefault="00495C42">
      <w:pPr>
        <w:pStyle w:val="a3"/>
        <w:jc w:val="both"/>
      </w:pPr>
      <w:r>
        <w:t>3. Департаменту регулювання діяльності торговців цінними паперами та фондових бірж (Устенко І. І.) забезпечити:</w:t>
      </w:r>
    </w:p>
    <w:p w:rsidR="00000000" w:rsidRDefault="00495C42">
      <w:pPr>
        <w:pStyle w:val="a3"/>
        <w:jc w:val="both"/>
      </w:pPr>
      <w:r>
        <w:t xml:space="preserve">подання цього рішення на здійснення експертизи на відповідність </w:t>
      </w:r>
      <w:r>
        <w:rPr>
          <w:color w:val="0000FF"/>
        </w:rPr>
        <w:t>Конвенції про захист прав людини і основоположних свобод</w:t>
      </w:r>
      <w:r>
        <w:t xml:space="preserve"> до </w:t>
      </w:r>
      <w:r>
        <w:t>Секретаріату Урядового уповноваженого у справах Європейського суду з прав людини Міністерства юстиції України;</w:t>
      </w:r>
    </w:p>
    <w:p w:rsidR="00000000" w:rsidRDefault="00495C42">
      <w:pPr>
        <w:pStyle w:val="a3"/>
        <w:jc w:val="both"/>
      </w:pPr>
      <w:r>
        <w:t>подання цього рішення на державну реєстрацію до Міністерства юстиції України.</w:t>
      </w:r>
    </w:p>
    <w:p w:rsidR="00000000" w:rsidRDefault="00495C42">
      <w:pPr>
        <w:pStyle w:val="a3"/>
        <w:jc w:val="both"/>
      </w:pPr>
      <w:r>
        <w:t>4. Управлінню інформаційних технологій, зовнішніх та внутрішніх ком</w:t>
      </w:r>
      <w:r>
        <w:t>унікацій (Заїка А. Л.) забезпечити публікацію цього рішення відповідно до законодавства.</w:t>
      </w:r>
    </w:p>
    <w:p w:rsidR="00000000" w:rsidRDefault="00495C42">
      <w:pPr>
        <w:pStyle w:val="a3"/>
        <w:jc w:val="both"/>
      </w:pPr>
      <w:r>
        <w:t>5. Це рішення набирає чинності з дня його офіційного опублікування.</w:t>
      </w:r>
    </w:p>
    <w:p w:rsidR="00000000" w:rsidRDefault="00495C42">
      <w:pPr>
        <w:pStyle w:val="a3"/>
        <w:jc w:val="both"/>
      </w:pPr>
      <w:r>
        <w:t>6. Контроль за виконанням цього рішення покласти на члена Комісії Тарасенка О. О.</w:t>
      </w:r>
    </w:p>
    <w:p w:rsidR="00000000" w:rsidRDefault="00495C42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495C42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Голова Комісії</w:t>
            </w:r>
          </w:p>
        </w:tc>
        <w:tc>
          <w:tcPr>
            <w:tcW w:w="2500" w:type="pct"/>
            <w:vAlign w:val="bottom"/>
            <w:hideMark/>
          </w:tcPr>
          <w:p w:rsidR="00000000" w:rsidRDefault="00495C42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495C42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000000" w:rsidRDefault="00495C42">
            <w:pPr>
              <w:pStyle w:val="a3"/>
              <w:jc w:val="center"/>
            </w:pPr>
            <w:r>
              <w:t> </w:t>
            </w:r>
          </w:p>
        </w:tc>
      </w:tr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495C42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Державної служби </w:t>
            </w:r>
            <w:r>
              <w:br/>
            </w:r>
            <w:r>
              <w:rPr>
                <w:b/>
                <w:bCs/>
              </w:rPr>
              <w:t>фінансового моніторингу України</w:t>
            </w:r>
          </w:p>
        </w:tc>
        <w:tc>
          <w:tcPr>
            <w:tcW w:w="2500" w:type="pct"/>
            <w:vAlign w:val="bottom"/>
            <w:hideMark/>
          </w:tcPr>
          <w:p w:rsidR="00000000" w:rsidRDefault="00495C42">
            <w:pPr>
              <w:pStyle w:val="a3"/>
              <w:jc w:val="center"/>
            </w:pPr>
            <w:r>
              <w:rPr>
                <w:b/>
                <w:bCs/>
              </w:rPr>
              <w:t>С. Г. Гуржій</w:t>
            </w:r>
          </w:p>
        </w:tc>
      </w:tr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495C42">
            <w:pPr>
              <w:pStyle w:val="a3"/>
              <w:jc w:val="center"/>
            </w:pPr>
            <w:r>
              <w:rPr>
                <w:b/>
                <w:bCs/>
              </w:rPr>
              <w:t xml:space="preserve">Голова Державної служби України </w:t>
            </w:r>
            <w:r>
              <w:br/>
            </w:r>
            <w:r>
              <w:rPr>
                <w:b/>
                <w:bCs/>
              </w:rPr>
              <w:t xml:space="preserve">з питань регуляторної політики </w:t>
            </w:r>
            <w:r>
              <w:br/>
            </w:r>
            <w:r>
              <w:rPr>
                <w:b/>
                <w:bCs/>
              </w:rPr>
              <w:t>та розвитку підприємництва</w:t>
            </w:r>
          </w:p>
        </w:tc>
        <w:tc>
          <w:tcPr>
            <w:tcW w:w="2500" w:type="pct"/>
            <w:vAlign w:val="bottom"/>
            <w:hideMark/>
          </w:tcPr>
          <w:p w:rsidR="00000000" w:rsidRDefault="00495C42">
            <w:pPr>
              <w:pStyle w:val="a3"/>
              <w:jc w:val="center"/>
            </w:pPr>
            <w:r>
              <w:rPr>
                <w:b/>
                <w:bCs/>
              </w:rPr>
              <w:t>М. Ю. Бродський</w:t>
            </w:r>
          </w:p>
        </w:tc>
      </w:tr>
    </w:tbl>
    <w:p w:rsidR="00000000" w:rsidRDefault="00495C42">
      <w:pPr>
        <w:pStyle w:val="a3"/>
        <w:jc w:val="both"/>
      </w:pPr>
      <w:r>
        <w:br w:type="textWrapping" w:clear="all"/>
      </w:r>
    </w:p>
    <w:p w:rsidR="00000000" w:rsidRDefault="00495C42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495C42">
            <w:pPr>
              <w:pStyle w:val="a3"/>
            </w:pPr>
            <w:r>
              <w:t>Протокол засідання Комісії</w:t>
            </w:r>
            <w:r>
              <w:br/>
              <w:t>від 24 жовтня 2013 р. N 55</w:t>
            </w:r>
          </w:p>
        </w:tc>
      </w:tr>
    </w:tbl>
    <w:p w:rsidR="00000000" w:rsidRDefault="00495C42">
      <w:pPr>
        <w:pStyle w:val="a3"/>
        <w:jc w:val="both"/>
      </w:pPr>
      <w:r>
        <w:br w:type="textWrapping" w:clear="all"/>
      </w:r>
    </w:p>
    <w:p w:rsidR="00000000" w:rsidRDefault="00495C42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495C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495C42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C42" w:rsidRDefault="00495C42">
      <w:pPr>
        <w:rPr>
          <w:rFonts w:eastAsia="Times New Roman"/>
        </w:rPr>
      </w:pPr>
    </w:p>
    <w:sectPr w:rsidR="00495C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2C13"/>
    <w:rsid w:val="00192C13"/>
    <w:rsid w:val="0049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92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1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92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C1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2759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2013-11-28T07:49:00Z</dcterms:created>
  <dcterms:modified xsi:type="dcterms:W3CDTF">2013-11-28T07:49:00Z</dcterms:modified>
</cp:coreProperties>
</file>