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3664D">
      <w:pPr>
        <w:pStyle w:val="a3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66750" cy="914400"/>
            <wp:effectExtent l="0" t="0" r="0" b="0"/>
            <wp:docPr id="1" name="Рисунок 1" descr="C:\Users\e.lapshova\AppData\Roaming\Liga70\Client\Session\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lapshova\AppData\Roaming\Liga70\Client\Session\TSIGN.GIF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3664D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НАЦІОНАЛЬНА КОМІСІЯ З ЦІННИХ ПАПЕРІВ ТА ФОНДОВОГО РИНКУ</w:t>
      </w:r>
    </w:p>
    <w:p w:rsidR="00000000" w:rsidRDefault="00B3664D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РІШЕННЯ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30"/>
        <w:gridCol w:w="2927"/>
        <w:gridCol w:w="3430"/>
      </w:tblGrid>
      <w:tr w:rsidR="00000000">
        <w:trPr>
          <w:tblCellSpacing w:w="22" w:type="dxa"/>
        </w:trPr>
        <w:tc>
          <w:tcPr>
            <w:tcW w:w="1750" w:type="pct"/>
            <w:hideMark/>
          </w:tcPr>
          <w:p w:rsidR="00000000" w:rsidRDefault="00B3664D">
            <w:pPr>
              <w:pStyle w:val="a3"/>
              <w:jc w:val="center"/>
            </w:pPr>
            <w:r>
              <w:rPr>
                <w:b/>
                <w:bCs/>
              </w:rPr>
              <w:t>26.11.2013</w:t>
            </w:r>
          </w:p>
        </w:tc>
        <w:tc>
          <w:tcPr>
            <w:tcW w:w="1500" w:type="pct"/>
            <w:hideMark/>
          </w:tcPr>
          <w:p w:rsidR="00000000" w:rsidRDefault="00B3664D">
            <w:pPr>
              <w:pStyle w:val="a3"/>
              <w:jc w:val="center"/>
            </w:pPr>
            <w:r>
              <w:rPr>
                <w:b/>
                <w:bCs/>
              </w:rPr>
              <w:t>м. Київ</w:t>
            </w:r>
          </w:p>
        </w:tc>
        <w:tc>
          <w:tcPr>
            <w:tcW w:w="1750" w:type="pct"/>
            <w:hideMark/>
          </w:tcPr>
          <w:p w:rsidR="00000000" w:rsidRDefault="00B3664D">
            <w:pPr>
              <w:pStyle w:val="a3"/>
              <w:jc w:val="center"/>
            </w:pPr>
            <w:r>
              <w:rPr>
                <w:b/>
                <w:bCs/>
              </w:rPr>
              <w:t>N 2671</w:t>
            </w:r>
          </w:p>
        </w:tc>
      </w:tr>
    </w:tbl>
    <w:p w:rsidR="00000000" w:rsidRDefault="00B3664D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00000" w:rsidRDefault="00B3664D">
      <w:pPr>
        <w:pStyle w:val="a3"/>
        <w:jc w:val="center"/>
      </w:pPr>
      <w:r>
        <w:rPr>
          <w:b/>
          <w:bCs/>
        </w:rPr>
        <w:t>Зареєстровано в Міністерстві юстиції України</w:t>
      </w:r>
      <w:r>
        <w:br/>
      </w:r>
      <w:r>
        <w:rPr>
          <w:b/>
          <w:bCs/>
        </w:rPr>
        <w:t>20 грудня 2013 р. за N 2157/24689</w:t>
      </w:r>
    </w:p>
    <w:p w:rsidR="00000000" w:rsidRDefault="00B3664D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Про внесення змін до рішення Національної комісії з цінних паперів та фондового ринку від 25 грудня 2012 року N 1900</w:t>
      </w:r>
    </w:p>
    <w:p w:rsidR="00000000" w:rsidRDefault="00B3664D">
      <w:pPr>
        <w:pStyle w:val="a3"/>
        <w:jc w:val="both"/>
      </w:pPr>
      <w:r>
        <w:t xml:space="preserve">Відповідно до </w:t>
      </w:r>
      <w:r>
        <w:rPr>
          <w:color w:val="0000FF"/>
        </w:rPr>
        <w:t>частини третьої статті 27 Закону України "Про цінні папери та фондовий ринок"</w:t>
      </w:r>
      <w:r>
        <w:t xml:space="preserve"> та </w:t>
      </w:r>
      <w:r>
        <w:rPr>
          <w:color w:val="0000FF"/>
        </w:rPr>
        <w:t>статей 3</w:t>
      </w:r>
      <w:r>
        <w:t xml:space="preserve">, </w:t>
      </w:r>
      <w:r>
        <w:rPr>
          <w:color w:val="0000FF"/>
        </w:rPr>
        <w:t>7</w:t>
      </w:r>
      <w:r>
        <w:t xml:space="preserve">, </w:t>
      </w:r>
      <w:r>
        <w:rPr>
          <w:color w:val="0000FF"/>
        </w:rPr>
        <w:t xml:space="preserve">8 Закону України "Про державне </w:t>
      </w:r>
      <w:r>
        <w:rPr>
          <w:color w:val="0000FF"/>
        </w:rPr>
        <w:t>регулювання ринку цінних паперів в Україні"</w:t>
      </w:r>
      <w:r>
        <w:t xml:space="preserve"> Національна комісія з цінних паперів та фондового ринку</w:t>
      </w:r>
    </w:p>
    <w:p w:rsidR="00000000" w:rsidRDefault="00B3664D">
      <w:pPr>
        <w:pStyle w:val="a3"/>
        <w:jc w:val="both"/>
      </w:pPr>
      <w:r>
        <w:rPr>
          <w:b/>
          <w:bCs/>
        </w:rPr>
        <w:t>ВИРІШИЛА:</w:t>
      </w:r>
    </w:p>
    <w:p w:rsidR="00000000" w:rsidRDefault="00B3664D">
      <w:pPr>
        <w:pStyle w:val="a3"/>
        <w:jc w:val="both"/>
      </w:pPr>
      <w:r>
        <w:t xml:space="preserve">1. </w:t>
      </w:r>
      <w:r>
        <w:rPr>
          <w:color w:val="0000FF"/>
        </w:rPr>
        <w:t>Пункт 5 рішення Національної комісії з цінних паперів та фондового ринку від 25 грудня 2012 року N 1900 "Про затвердження Положення щодо пруден</w:t>
      </w:r>
      <w:r>
        <w:rPr>
          <w:color w:val="0000FF"/>
        </w:rPr>
        <w:t>ційних нормативів професійної діяльності на фондовому ринку - діяльності з торгівлі цінними паперами"</w:t>
      </w:r>
      <w:r>
        <w:t>, зареєстрованого в Міністерстві юстиції України 21 січня 2013 року за N 139/22671, викласти в такій редакції:</w:t>
      </w:r>
    </w:p>
    <w:p w:rsidR="00000000" w:rsidRDefault="00B3664D">
      <w:pPr>
        <w:pStyle w:val="a3"/>
        <w:jc w:val="both"/>
      </w:pPr>
      <w:r>
        <w:t>"5. Це рішення набирає чинності з дня його о</w:t>
      </w:r>
      <w:r>
        <w:t>фіційного опублікування, крім пункту 6 глави 2, пунктів 3, 4 глави 3, пункту 6 глави 4, пункту 4 глави 5, пункту 5 глави 6 розділу II Положення, які набирають чинності з 01 липня 2014 року.".</w:t>
      </w:r>
    </w:p>
    <w:p w:rsidR="00000000" w:rsidRDefault="00B3664D">
      <w:pPr>
        <w:pStyle w:val="a3"/>
        <w:jc w:val="both"/>
      </w:pPr>
      <w:r>
        <w:t>2. Затвердити Зміни до Положення щодо пруденційних нормативів пр</w:t>
      </w:r>
      <w:r>
        <w:t xml:space="preserve">офесійної діяльності на фондовому ринку - діяльності з торгівлі цінними паперами, затвердженого </w:t>
      </w:r>
      <w:r>
        <w:rPr>
          <w:color w:val="0000FF"/>
        </w:rPr>
        <w:t>рішенням Національної комісії з цінних паперів та фондового ринку від 25 грудня 2012 року N 1900</w:t>
      </w:r>
      <w:r>
        <w:t>, зареєстрованого в Міністерстві юстиції України 21 січня 2013 р</w:t>
      </w:r>
      <w:r>
        <w:t>оку за N 139/22671, що додаються.</w:t>
      </w:r>
    </w:p>
    <w:p w:rsidR="00000000" w:rsidRDefault="00B3664D">
      <w:pPr>
        <w:pStyle w:val="a3"/>
        <w:jc w:val="both"/>
      </w:pPr>
      <w:r>
        <w:t>3. Департаменту регулювання діяльності торговців цінними паперами та фондових бірж (І. Устенко) забезпечити:</w:t>
      </w:r>
    </w:p>
    <w:p w:rsidR="00000000" w:rsidRDefault="00B3664D">
      <w:pPr>
        <w:pStyle w:val="a3"/>
        <w:jc w:val="both"/>
      </w:pPr>
      <w:r>
        <w:t xml:space="preserve">подання цього рішення на здійснення експертизи на відповідність </w:t>
      </w:r>
      <w:r>
        <w:rPr>
          <w:color w:val="0000FF"/>
        </w:rPr>
        <w:t>Конвенції про захист прав людини і основоположних свобод</w:t>
      </w:r>
      <w:r>
        <w:t xml:space="preserve"> до Секретаріату Урядового уповноваженого у справах Європейського суду з прав людини Міністерства юстиції України;</w:t>
      </w:r>
    </w:p>
    <w:p w:rsidR="00000000" w:rsidRDefault="00B3664D">
      <w:pPr>
        <w:pStyle w:val="a3"/>
        <w:jc w:val="both"/>
      </w:pPr>
      <w:r>
        <w:lastRenderedPageBreak/>
        <w:t>подання цього рішення на державну реєстрацію до Міністерства юстиції України.</w:t>
      </w:r>
    </w:p>
    <w:p w:rsidR="00000000" w:rsidRDefault="00B3664D">
      <w:pPr>
        <w:pStyle w:val="a3"/>
        <w:jc w:val="both"/>
      </w:pPr>
      <w:r>
        <w:t>4. Упра</w:t>
      </w:r>
      <w:r>
        <w:t>влінню інформаційних технологій, зовнішніх та внутрішніх комунікацій (Заїка А. Л.) забезпечити оприлюднення цього рішення відповідно до законодавства.</w:t>
      </w:r>
    </w:p>
    <w:p w:rsidR="00000000" w:rsidRDefault="00B3664D">
      <w:pPr>
        <w:pStyle w:val="a3"/>
        <w:jc w:val="both"/>
      </w:pPr>
      <w:r>
        <w:t>5. Це рішення набирає чинності з дня його офіційного опублікування.</w:t>
      </w:r>
    </w:p>
    <w:p w:rsidR="00000000" w:rsidRDefault="00B3664D">
      <w:pPr>
        <w:pStyle w:val="a3"/>
        <w:jc w:val="both"/>
      </w:pPr>
      <w:r>
        <w:t>6. Контроль за виконанням цього рішен</w:t>
      </w:r>
      <w:r>
        <w:t>ня покласти на члена Національної комісії з цінних паперів та фондового ринку М. Назарчука.</w:t>
      </w:r>
    </w:p>
    <w:p w:rsidR="00000000" w:rsidRDefault="00B3664D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3"/>
        <w:gridCol w:w="4894"/>
      </w:tblGrid>
      <w:tr w:rsidR="00000000">
        <w:trPr>
          <w:tblCellSpacing w:w="22" w:type="dxa"/>
        </w:trPr>
        <w:tc>
          <w:tcPr>
            <w:tcW w:w="2500" w:type="pct"/>
            <w:hideMark/>
          </w:tcPr>
          <w:p w:rsidR="00000000" w:rsidRDefault="00B3664D">
            <w:pPr>
              <w:pStyle w:val="a3"/>
              <w:jc w:val="center"/>
            </w:pPr>
            <w:r>
              <w:rPr>
                <w:b/>
                <w:bCs/>
              </w:rPr>
              <w:t>Голова Комісії</w:t>
            </w:r>
          </w:p>
        </w:tc>
        <w:tc>
          <w:tcPr>
            <w:tcW w:w="2500" w:type="pct"/>
            <w:hideMark/>
          </w:tcPr>
          <w:p w:rsidR="00000000" w:rsidRDefault="00B3664D">
            <w:pPr>
              <w:pStyle w:val="a3"/>
              <w:jc w:val="center"/>
            </w:pPr>
            <w:r>
              <w:rPr>
                <w:b/>
                <w:bCs/>
              </w:rPr>
              <w:t>Д. Тевелєв</w:t>
            </w:r>
          </w:p>
        </w:tc>
      </w:tr>
    </w:tbl>
    <w:p w:rsidR="00000000" w:rsidRDefault="00B3664D">
      <w:pPr>
        <w:pStyle w:val="a3"/>
        <w:jc w:val="both"/>
      </w:pPr>
      <w:r>
        <w:br w:type="textWrapping" w:clear="all"/>
      </w:r>
    </w:p>
    <w:p w:rsidR="00000000" w:rsidRDefault="00B3664D">
      <w:pPr>
        <w:pStyle w:val="a3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000000">
        <w:trPr>
          <w:tblCellSpacing w:w="22" w:type="dxa"/>
        </w:trPr>
        <w:tc>
          <w:tcPr>
            <w:tcW w:w="5000" w:type="pct"/>
            <w:hideMark/>
          </w:tcPr>
          <w:p w:rsidR="00000000" w:rsidRDefault="00B3664D">
            <w:pPr>
              <w:pStyle w:val="a3"/>
            </w:pPr>
            <w:r>
              <w:t>Протокол засідання Комісії</w:t>
            </w:r>
            <w:r>
              <w:br/>
              <w:t>від 26 листопада 2013 р. N 61</w:t>
            </w:r>
          </w:p>
        </w:tc>
      </w:tr>
    </w:tbl>
    <w:p w:rsidR="00000000" w:rsidRDefault="00B3664D">
      <w:pPr>
        <w:pStyle w:val="a3"/>
        <w:jc w:val="both"/>
      </w:pPr>
      <w:r>
        <w:br w:type="textWrapping" w:clear="all"/>
      </w:r>
    </w:p>
    <w:p w:rsidR="00000000" w:rsidRDefault="00B3664D">
      <w:pPr>
        <w:pStyle w:val="a3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000000">
        <w:trPr>
          <w:tblCellSpacing w:w="22" w:type="dxa"/>
        </w:trPr>
        <w:tc>
          <w:tcPr>
            <w:tcW w:w="5000" w:type="pct"/>
            <w:hideMark/>
          </w:tcPr>
          <w:p w:rsidR="00000000" w:rsidRDefault="00B3664D">
            <w:pPr>
              <w:pStyle w:val="a3"/>
            </w:pPr>
            <w:r>
              <w:t>ЗАТВЕРДЖЕНО</w:t>
            </w:r>
            <w:r>
              <w:br/>
            </w:r>
            <w:r>
              <w:t>Рішення Національної комісії з цінних паперів та фондового ринку</w:t>
            </w:r>
            <w:r>
              <w:br/>
              <w:t>26.11.2013 N 2671</w:t>
            </w:r>
          </w:p>
          <w:p w:rsidR="00000000" w:rsidRDefault="00B3664D">
            <w:pPr>
              <w:pStyle w:val="a3"/>
            </w:pPr>
            <w:r>
              <w:t>Зареєстровано</w:t>
            </w:r>
            <w:r>
              <w:br/>
              <w:t>в Міністерстві юстиції України</w:t>
            </w:r>
            <w:r>
              <w:br/>
              <w:t>20 грудня 2013 р. за N 2157/24689</w:t>
            </w:r>
          </w:p>
        </w:tc>
      </w:tr>
    </w:tbl>
    <w:p w:rsidR="00000000" w:rsidRDefault="00B3664D">
      <w:pPr>
        <w:pStyle w:val="a3"/>
        <w:jc w:val="both"/>
      </w:pPr>
      <w:r>
        <w:br w:type="textWrapping" w:clear="all"/>
      </w:r>
    </w:p>
    <w:p w:rsidR="00000000" w:rsidRDefault="00B3664D">
      <w:pPr>
        <w:pStyle w:val="3"/>
        <w:jc w:val="center"/>
        <w:rPr>
          <w:rFonts w:eastAsia="Times New Roman"/>
          <w:color w:val="0000FF"/>
        </w:rPr>
      </w:pPr>
      <w:r>
        <w:rPr>
          <w:rFonts w:eastAsia="Times New Roman"/>
        </w:rPr>
        <w:t xml:space="preserve">Зміни до </w:t>
      </w:r>
      <w:r>
        <w:rPr>
          <w:rFonts w:eastAsia="Times New Roman"/>
          <w:color w:val="0000FF"/>
        </w:rPr>
        <w:t xml:space="preserve">Положення щодо пруденційних нормативів професійної діяльності на фондовому ринку - </w:t>
      </w:r>
      <w:r>
        <w:rPr>
          <w:rFonts w:eastAsia="Times New Roman"/>
          <w:color w:val="0000FF"/>
        </w:rPr>
        <w:t>діяльності з торгівлі цінними паперами</w:t>
      </w:r>
    </w:p>
    <w:p w:rsidR="00000000" w:rsidRDefault="00B3664D">
      <w:pPr>
        <w:pStyle w:val="a3"/>
        <w:jc w:val="both"/>
      </w:pPr>
      <w:r>
        <w:t>1. У розділі I:</w:t>
      </w:r>
    </w:p>
    <w:p w:rsidR="00000000" w:rsidRDefault="00B3664D">
      <w:pPr>
        <w:pStyle w:val="a3"/>
        <w:jc w:val="both"/>
      </w:pPr>
      <w:r>
        <w:t>1) в абзаці п'ятому пункту 2 слово "статутного" замінити словом "власного";</w:t>
      </w:r>
    </w:p>
    <w:p w:rsidR="00000000" w:rsidRDefault="00B3664D">
      <w:pPr>
        <w:pStyle w:val="a3"/>
        <w:jc w:val="both"/>
      </w:pPr>
      <w:r>
        <w:t>2) пункт 3 викласти в такій редакції:</w:t>
      </w:r>
    </w:p>
    <w:p w:rsidR="00000000" w:rsidRDefault="00B3664D">
      <w:pPr>
        <w:pStyle w:val="a3"/>
        <w:jc w:val="both"/>
      </w:pPr>
      <w:r>
        <w:t>"3. Терміни "пруденційний нагляд", "фінансова установа" та інші у цьому Положенні вжива</w:t>
      </w:r>
      <w:r>
        <w:t>ються у значеннях, визначених законодавством з цінних паперів та фондового ринку та державного регулювання ринків фінансових послуг.".</w:t>
      </w:r>
    </w:p>
    <w:p w:rsidR="00000000" w:rsidRDefault="00B3664D">
      <w:pPr>
        <w:pStyle w:val="a3"/>
        <w:jc w:val="both"/>
      </w:pPr>
      <w:r>
        <w:t>2. У розділі II:</w:t>
      </w:r>
    </w:p>
    <w:p w:rsidR="00000000" w:rsidRDefault="00B3664D">
      <w:pPr>
        <w:pStyle w:val="a3"/>
        <w:jc w:val="both"/>
      </w:pPr>
      <w:r>
        <w:t>1) главу 1 доповнити новими пунктами такого змісту:</w:t>
      </w:r>
    </w:p>
    <w:p w:rsidR="00000000" w:rsidRDefault="00B3664D">
      <w:pPr>
        <w:pStyle w:val="a3"/>
        <w:jc w:val="both"/>
      </w:pPr>
      <w:r>
        <w:lastRenderedPageBreak/>
        <w:t>"3. Одиницею виміру чисельних значень, що є складови</w:t>
      </w:r>
      <w:r>
        <w:t>ми розрахунків пруденційних нормативів діяльності торговців цінними паперами, є гривня.</w:t>
      </w:r>
    </w:p>
    <w:p w:rsidR="00000000" w:rsidRDefault="00B3664D">
      <w:pPr>
        <w:pStyle w:val="a3"/>
        <w:jc w:val="both"/>
      </w:pPr>
      <w:r>
        <w:t>4. Під час розрахунку пруденційних нормативів торговця цінними паперами не допускається неодноразове врахування їх складових.";</w:t>
      </w:r>
    </w:p>
    <w:p w:rsidR="00000000" w:rsidRDefault="00B3664D">
      <w:pPr>
        <w:pStyle w:val="a3"/>
        <w:jc w:val="both"/>
      </w:pPr>
      <w:r>
        <w:t>2) у главі 2:</w:t>
      </w:r>
    </w:p>
    <w:p w:rsidR="00000000" w:rsidRDefault="00B3664D">
      <w:pPr>
        <w:pStyle w:val="a3"/>
        <w:jc w:val="both"/>
      </w:pPr>
      <w:r>
        <w:t>у пункті 3:</w:t>
      </w:r>
    </w:p>
    <w:p w:rsidR="00000000" w:rsidRDefault="00B3664D">
      <w:pPr>
        <w:pStyle w:val="a3"/>
        <w:jc w:val="both"/>
      </w:pPr>
      <w:r>
        <w:t>підпункт "а" в</w:t>
      </w:r>
      <w:r>
        <w:t>икласти в такій редакції:</w:t>
      </w:r>
    </w:p>
    <w:p w:rsidR="00000000" w:rsidRDefault="00B3664D">
      <w:pPr>
        <w:pStyle w:val="a3"/>
        <w:jc w:val="both"/>
      </w:pPr>
      <w:r>
        <w:t>"а) простроченої дебіторської заборгованості;";</w:t>
      </w:r>
    </w:p>
    <w:p w:rsidR="00000000" w:rsidRDefault="00B3664D">
      <w:pPr>
        <w:pStyle w:val="a3"/>
        <w:jc w:val="both"/>
      </w:pPr>
      <w:r>
        <w:t>підпункт "е" викласти в такій редакції:</w:t>
      </w:r>
    </w:p>
    <w:p w:rsidR="00000000" w:rsidRDefault="00B3664D">
      <w:pPr>
        <w:pStyle w:val="a3"/>
        <w:jc w:val="both"/>
      </w:pPr>
      <w:r>
        <w:t>"е) балансової вартості цінних паперів, що не перебувають в обігу хоча б на одній із фондових бірж (у тому числі торгівля яких на фондових бір</w:t>
      </w:r>
      <w:r>
        <w:t>жах заборонена законодавством України), крім акцій приватних акціонерних товариств, цінних паперів, емітованих або виданих центральними органами виконавчої влади, місцевими органами виконавчої влади, Національним банком та Державною іпотечною установою, та</w:t>
      </w:r>
      <w:r>
        <w:t xml:space="preserve"> цінних паперів інших фінансових установ;";</w:t>
      </w:r>
    </w:p>
    <w:p w:rsidR="00000000" w:rsidRDefault="00B3664D">
      <w:pPr>
        <w:pStyle w:val="a3"/>
        <w:jc w:val="both"/>
      </w:pPr>
      <w:r>
        <w:t>підпункт "ж" викласти в такій редакції:</w:t>
      </w:r>
    </w:p>
    <w:p w:rsidR="00000000" w:rsidRDefault="00B3664D">
      <w:pPr>
        <w:pStyle w:val="a3"/>
        <w:jc w:val="both"/>
      </w:pPr>
      <w:r>
        <w:t>"ж) гудвіл;";</w:t>
      </w:r>
    </w:p>
    <w:p w:rsidR="00000000" w:rsidRDefault="00B3664D">
      <w:pPr>
        <w:pStyle w:val="a3"/>
        <w:jc w:val="both"/>
      </w:pPr>
      <w:r>
        <w:t>підпункт "з" викласти в такій редакції:</w:t>
      </w:r>
    </w:p>
    <w:p w:rsidR="00000000" w:rsidRDefault="00B3664D">
      <w:pPr>
        <w:pStyle w:val="a3"/>
        <w:jc w:val="both"/>
      </w:pPr>
      <w:r>
        <w:t>"з) векселі придбані та одержані від векселедавця, який не перебуває в біржовому реєстрі хоча б на одній із фондових бірж.";</w:t>
      </w:r>
    </w:p>
    <w:p w:rsidR="00000000" w:rsidRDefault="00B3664D">
      <w:pPr>
        <w:pStyle w:val="a3"/>
        <w:jc w:val="both"/>
      </w:pPr>
      <w:r>
        <w:t>у пункті 5 слова "недиверсифікованих інвестиційних" замінити словом "венчурних";</w:t>
      </w:r>
    </w:p>
    <w:p w:rsidR="00000000" w:rsidRDefault="00B3664D">
      <w:pPr>
        <w:pStyle w:val="a3"/>
        <w:jc w:val="both"/>
      </w:pPr>
      <w:r>
        <w:t>пункт 6 викласти у такій редакції:</w:t>
      </w:r>
    </w:p>
    <w:p w:rsidR="00000000" w:rsidRDefault="00B3664D">
      <w:pPr>
        <w:pStyle w:val="a3"/>
        <w:jc w:val="both"/>
      </w:pPr>
      <w:r>
        <w:t>"6. Мінімальний</w:t>
      </w:r>
      <w:r>
        <w:t xml:space="preserve"> розмір регулятивного капіталу торговців цінними паперами має становити не менше ніж:</w:t>
      </w:r>
    </w:p>
    <w:p w:rsidR="00000000" w:rsidRDefault="00B3664D">
      <w:pPr>
        <w:pStyle w:val="a3"/>
        <w:jc w:val="both"/>
      </w:pPr>
      <w:r>
        <w:t>а) 500 тисяч гривень - для торговців, які провадять виключно дилерську діяльність;</w:t>
      </w:r>
    </w:p>
    <w:p w:rsidR="00000000" w:rsidRDefault="00B3664D">
      <w:pPr>
        <w:pStyle w:val="a3"/>
        <w:jc w:val="both"/>
      </w:pPr>
      <w:r>
        <w:t>б) 1 мільйон гривень - для торговців, які провадять брокерську діяльність;</w:t>
      </w:r>
    </w:p>
    <w:p w:rsidR="00000000" w:rsidRDefault="00B3664D">
      <w:pPr>
        <w:pStyle w:val="a3"/>
        <w:jc w:val="both"/>
      </w:pPr>
      <w:r>
        <w:t>в) 7 мільйон</w:t>
      </w:r>
      <w:r>
        <w:t>ів гривень - для торговців, які провадять діяльність з андеррайтингу;</w:t>
      </w:r>
    </w:p>
    <w:p w:rsidR="00000000" w:rsidRDefault="00B3664D">
      <w:pPr>
        <w:pStyle w:val="a3"/>
        <w:jc w:val="both"/>
      </w:pPr>
      <w:r>
        <w:t>г) 7 мільйонів гривень - для торговців, які провадять діяльність з управління цінними паперами.</w:t>
      </w:r>
    </w:p>
    <w:p w:rsidR="00000000" w:rsidRDefault="00B3664D">
      <w:pPr>
        <w:pStyle w:val="a3"/>
        <w:jc w:val="both"/>
      </w:pPr>
      <w:r>
        <w:t>Зазначені нормативи регулятивного капіталу поширюються на торговців цінними паперами з дат</w:t>
      </w:r>
      <w:r>
        <w:t>и укладання першого відповідного договору (договору купівлі-продажу цінних паперів, договору комісії, договору доручення, договору на брокерське обслуговування, договору андеррайтингу, договору про управління цінними паперами).";</w:t>
      </w:r>
    </w:p>
    <w:p w:rsidR="00000000" w:rsidRDefault="00B3664D">
      <w:pPr>
        <w:pStyle w:val="a3"/>
        <w:jc w:val="both"/>
      </w:pPr>
      <w:r>
        <w:t>3) пункт 3 глави 4 викласт</w:t>
      </w:r>
      <w:r>
        <w:t>и в такій редакції:</w:t>
      </w:r>
    </w:p>
    <w:p w:rsidR="00000000" w:rsidRDefault="00B3664D">
      <w:pPr>
        <w:pStyle w:val="a3"/>
        <w:jc w:val="both"/>
      </w:pPr>
      <w:r>
        <w:lastRenderedPageBreak/>
        <w:t>"3. Коефіцієнт абсолютної ліквідності розраховується щодня за такою формулою:</w:t>
      </w:r>
    </w:p>
    <w:p w:rsidR="00000000" w:rsidRDefault="00B3664D">
      <w:pPr>
        <w:pStyle w:val="a3"/>
        <w:jc w:val="both"/>
      </w:pPr>
      <w:r>
        <w:t>коефіцієнт абсолютної ліквідності = (грошові кошти + поточні фінансові інвестиції - поточні фінансові інвестиції у цінні папери венчурних фондів - поточні фін</w:t>
      </w:r>
      <w:r>
        <w:t>ансові інвестиції в асоційовані та дочірні компанії (крім акціонерних товариств), які обліковуються за методом участі в капіталі, - поточні фінансові інвестиції у цінні папери, що не перебувають в обігу хоча б на одній із фондових бірж, крім акцій приватни</w:t>
      </w:r>
      <w:r>
        <w:t>х акціонерних товариств, цінних паперів, емітованих або виданих центральними органами виконавчої влади, місцевими органами виконавчої влади, Національним банком та Державною іпотечною установою, та цінних паперів інших фінансових установ, + кошти клієнтів,</w:t>
      </w:r>
      <w:r>
        <w:t xml:space="preserve"> що заблоковані для проведення торгів на фондовій біржі)/поточні зобов'язання.</w:t>
      </w:r>
    </w:p>
    <w:p w:rsidR="00000000" w:rsidRDefault="00B3664D">
      <w:pPr>
        <w:pStyle w:val="a3"/>
        <w:jc w:val="both"/>
      </w:pPr>
      <w:r>
        <w:t>У випадку, коли поточні зобов'язання торговця цінними паперами дорівнюють нулю, значення коефіцієнта абсолютної ліквідності зазначається символом "*".";</w:t>
      </w:r>
    </w:p>
    <w:p w:rsidR="00000000" w:rsidRDefault="00B3664D">
      <w:pPr>
        <w:pStyle w:val="a3"/>
        <w:jc w:val="both"/>
      </w:pPr>
      <w:r>
        <w:t>4) у главі 5:</w:t>
      </w:r>
    </w:p>
    <w:p w:rsidR="00000000" w:rsidRDefault="00B3664D">
      <w:pPr>
        <w:pStyle w:val="a3"/>
        <w:jc w:val="both"/>
      </w:pPr>
      <w:r>
        <w:t>пункт 1 ви</w:t>
      </w:r>
      <w:r>
        <w:t>класти в такій редакції:</w:t>
      </w:r>
    </w:p>
    <w:p w:rsidR="00000000" w:rsidRDefault="00B3664D">
      <w:pPr>
        <w:pStyle w:val="a3"/>
        <w:jc w:val="both"/>
      </w:pPr>
      <w:r>
        <w:t>"1. Коефіцієнт левериджу розраховується торговцем цінними паперами станом на останній календарний день кожного місяця, а значення коефіцієнта є середньоарифметичним за квартал і розраховується за такою формулою: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73"/>
        <w:gridCol w:w="1076"/>
        <w:gridCol w:w="5951"/>
      </w:tblGrid>
      <w:tr w:rsidR="00000000">
        <w:trPr>
          <w:tblCellSpacing w:w="22" w:type="dxa"/>
          <w:jc w:val="center"/>
        </w:trPr>
        <w:tc>
          <w:tcPr>
            <w:tcW w:w="1650" w:type="pct"/>
            <w:vAlign w:val="center"/>
            <w:hideMark/>
          </w:tcPr>
          <w:p w:rsidR="00000000" w:rsidRDefault="00B3664D">
            <w:pPr>
              <w:pStyle w:val="a3"/>
              <w:jc w:val="right"/>
            </w:pPr>
            <w:r>
              <w:rPr>
                <w:i/>
                <w:iCs/>
              </w:rPr>
              <w:t>LR</w:t>
            </w:r>
            <w:r>
              <w:t xml:space="preserve"> =</w:t>
            </w:r>
          </w:p>
        </w:tc>
        <w:tc>
          <w:tcPr>
            <w:tcW w:w="500" w:type="pct"/>
            <w:vAlign w:val="center"/>
            <w:hideMark/>
          </w:tcPr>
          <w:p w:rsidR="00000000" w:rsidRDefault="00B3664D">
            <w:pPr>
              <w:pStyle w:val="a3"/>
              <w:jc w:val="center"/>
            </w:pPr>
            <w:r>
              <w:rPr>
                <w:i/>
                <w:iCs/>
                <w:u w:val="single"/>
              </w:rPr>
              <w:t>Rcapital</w:t>
            </w:r>
            <w:r>
              <w:br/>
            </w:r>
            <w:r>
              <w:rPr>
                <w:i/>
                <w:iCs/>
              </w:rPr>
              <w:t>CA</w:t>
            </w:r>
          </w:p>
        </w:tc>
        <w:tc>
          <w:tcPr>
            <w:tcW w:w="2850" w:type="pct"/>
            <w:vAlign w:val="center"/>
            <w:hideMark/>
          </w:tcPr>
          <w:p w:rsidR="00000000" w:rsidRDefault="00B3664D">
            <w:pPr>
              <w:pStyle w:val="a3"/>
              <w:jc w:val="both"/>
            </w:pPr>
            <w:r>
              <w:t>х 100 %,</w:t>
            </w:r>
          </w:p>
        </w:tc>
      </w:tr>
    </w:tbl>
    <w:p w:rsidR="00000000" w:rsidRDefault="00B3664D">
      <w:pPr>
        <w:pStyle w:val="a3"/>
        <w:jc w:val="both"/>
      </w:pPr>
      <w:r>
        <w:br w:type="textWrapping" w:clear="all"/>
      </w:r>
    </w:p>
    <w:p w:rsidR="00000000" w:rsidRDefault="00B3664D">
      <w:pPr>
        <w:pStyle w:val="a3"/>
        <w:jc w:val="both"/>
      </w:pPr>
      <w:r>
        <w:t>де LR - коефіцієнт левериджу;</w:t>
      </w:r>
    </w:p>
    <w:p w:rsidR="00000000" w:rsidRDefault="00B3664D">
      <w:pPr>
        <w:pStyle w:val="a3"/>
        <w:jc w:val="both"/>
      </w:pPr>
      <w:r>
        <w:t>Rcapital - регулятивний капітал;</w:t>
      </w:r>
    </w:p>
    <w:p w:rsidR="00000000" w:rsidRDefault="00B3664D">
      <w:pPr>
        <w:pStyle w:val="a3"/>
        <w:jc w:val="both"/>
      </w:pPr>
      <w:r>
        <w:t>CA - сума скоригованих активів.";</w:t>
      </w:r>
    </w:p>
    <w:p w:rsidR="00000000" w:rsidRDefault="00B3664D">
      <w:pPr>
        <w:pStyle w:val="a3"/>
        <w:jc w:val="both"/>
      </w:pPr>
      <w:r>
        <w:t xml:space="preserve">у пункті 3 слова "До скоригованих активів під час розрахунку нормативу LR не включаються:" замінити словами "Скориговані активи розраховуються </w:t>
      </w:r>
      <w:r>
        <w:t>як активи торговця цінними паперами на останній календарний день місяця за мінусом:";</w:t>
      </w:r>
    </w:p>
    <w:p w:rsidR="00000000" w:rsidRDefault="00B3664D">
      <w:pPr>
        <w:pStyle w:val="a3"/>
        <w:jc w:val="both"/>
      </w:pPr>
      <w:r>
        <w:t>5) у главі 6:</w:t>
      </w:r>
    </w:p>
    <w:p w:rsidR="00000000" w:rsidRDefault="00B3664D">
      <w:pPr>
        <w:pStyle w:val="a3"/>
        <w:jc w:val="both"/>
      </w:pPr>
      <w:r>
        <w:t>у пункті 1:</w:t>
      </w:r>
    </w:p>
    <w:p w:rsidR="00000000" w:rsidRDefault="00B3664D">
      <w:pPr>
        <w:pStyle w:val="a3"/>
        <w:jc w:val="both"/>
      </w:pPr>
      <w:r>
        <w:t>в абзаці першому слово "регулятивного" замінити словом "власного";</w:t>
      </w:r>
    </w:p>
    <w:p w:rsidR="00000000" w:rsidRDefault="00B3664D">
      <w:pPr>
        <w:pStyle w:val="a3"/>
        <w:jc w:val="both"/>
      </w:pPr>
      <w:r>
        <w:t>абзац другий виключити;</w:t>
      </w:r>
    </w:p>
    <w:p w:rsidR="00000000" w:rsidRDefault="00B3664D">
      <w:pPr>
        <w:pStyle w:val="a3"/>
        <w:jc w:val="both"/>
      </w:pPr>
      <w:r>
        <w:t>у пункті 2:</w:t>
      </w:r>
    </w:p>
    <w:p w:rsidR="00000000" w:rsidRDefault="00B3664D">
      <w:pPr>
        <w:pStyle w:val="a3"/>
        <w:jc w:val="both"/>
      </w:pPr>
      <w:r>
        <w:t>в абзаці першому слово "регулятивного" за</w:t>
      </w:r>
      <w:r>
        <w:t>мінити словом "власного";</w:t>
      </w:r>
    </w:p>
    <w:p w:rsidR="00000000" w:rsidRDefault="00B3664D">
      <w:pPr>
        <w:pStyle w:val="a3"/>
        <w:jc w:val="both"/>
      </w:pPr>
      <w:r>
        <w:t>абзац другий виключити;</w:t>
      </w:r>
    </w:p>
    <w:p w:rsidR="00000000" w:rsidRDefault="00B3664D">
      <w:pPr>
        <w:pStyle w:val="a3"/>
        <w:jc w:val="both"/>
      </w:pPr>
      <w:r>
        <w:t>у пункті 3:</w:t>
      </w:r>
    </w:p>
    <w:p w:rsidR="00000000" w:rsidRDefault="00B3664D">
      <w:pPr>
        <w:pStyle w:val="a3"/>
        <w:jc w:val="both"/>
      </w:pPr>
      <w:r>
        <w:lastRenderedPageBreak/>
        <w:t>в абзаці першому слово "регулятивного" замінити словом "власного";</w:t>
      </w:r>
    </w:p>
    <w:p w:rsidR="00000000" w:rsidRDefault="00B3664D">
      <w:pPr>
        <w:pStyle w:val="a3"/>
        <w:jc w:val="both"/>
      </w:pPr>
      <w:r>
        <w:t>абзац другий виключити;</w:t>
      </w:r>
    </w:p>
    <w:p w:rsidR="00000000" w:rsidRDefault="00B3664D">
      <w:pPr>
        <w:pStyle w:val="a3"/>
        <w:jc w:val="both"/>
      </w:pPr>
      <w:r>
        <w:t>доповнити главу новим пунктом такого змісту:</w:t>
      </w:r>
    </w:p>
    <w:p w:rsidR="00000000" w:rsidRDefault="00B3664D">
      <w:pPr>
        <w:pStyle w:val="a3"/>
        <w:jc w:val="both"/>
      </w:pPr>
      <w:r>
        <w:t xml:space="preserve">"5. Показник продуктивності торговця цінними паперами, що </w:t>
      </w:r>
      <w:r>
        <w:t>здійснює брокерську діяльність, не може перевищувати 30.</w:t>
      </w:r>
    </w:p>
    <w:p w:rsidR="00000000" w:rsidRDefault="00B3664D">
      <w:pPr>
        <w:pStyle w:val="a3"/>
        <w:jc w:val="both"/>
      </w:pPr>
      <w:r>
        <w:t>Показник продуктивності торговця цінними паперами, що здійснює дилерську діяльність, не може перевищувати 20.</w:t>
      </w:r>
    </w:p>
    <w:p w:rsidR="00000000" w:rsidRDefault="00B3664D">
      <w:pPr>
        <w:pStyle w:val="a3"/>
        <w:jc w:val="both"/>
      </w:pPr>
      <w:r>
        <w:t>Показник продуктивності торговця цінними паперами, що здійснює андеррайтинг, не може пере</w:t>
      </w:r>
      <w:r>
        <w:t>вищувати 40.".</w:t>
      </w:r>
    </w:p>
    <w:p w:rsidR="00000000" w:rsidRDefault="00B3664D">
      <w:pPr>
        <w:pStyle w:val="a3"/>
        <w:jc w:val="both"/>
      </w:pPr>
      <w:r>
        <w:t>3. Пункт 3 розділу III викласти в такій редакції:</w:t>
      </w:r>
    </w:p>
    <w:p w:rsidR="00000000" w:rsidRDefault="00B3664D">
      <w:pPr>
        <w:pStyle w:val="a3"/>
        <w:jc w:val="both"/>
      </w:pPr>
      <w:r>
        <w:t>"3. Торговець цінними паперами у разі недотримання нормативного значення пруденційного показника повинен протягом 30 днів від дня виникнення відхилення здійснити заходи щодо приведення значення пруденційного показника у відповідність із нормативним значенн</w:t>
      </w:r>
      <w:r>
        <w:t>ям. Якщо причиною недотримання нормативного значення пруденційних показників регулятивного капіталу, адекватності регулятивного капіталу, коефіцієнта левериджу та адекватності капіталу першого рівня є цінні папери емітентів, щодо яких проводиться процедура</w:t>
      </w:r>
      <w:r>
        <w:t xml:space="preserve"> ліквідації, зупинено обіг цінних паперів або щодо яких встановлено обмеження операцій у системі депозитарного обліку на підставі рішень Комісії, то строк приведення значень вказаних пруденційних показників у відповідність до нормативних значень продовжуєт</w:t>
      </w:r>
      <w:r>
        <w:t>ься до прийняття рішення Комісією щодо скасування реєстрації випуску, відновлення обігу цінних паперів цього емітента чи зняття відповідного обмеження.".</w:t>
      </w:r>
    </w:p>
    <w:p w:rsidR="00000000" w:rsidRDefault="00B3664D">
      <w:pPr>
        <w:pStyle w:val="a3"/>
        <w:jc w:val="both"/>
      </w:pPr>
      <w:r>
        <w:t>4. У додатку до цього Положення:</w:t>
      </w:r>
    </w:p>
    <w:p w:rsidR="00000000" w:rsidRDefault="00B3664D">
      <w:pPr>
        <w:pStyle w:val="a3"/>
        <w:jc w:val="both"/>
      </w:pPr>
      <w:r>
        <w:t>1) абзац перший після слів "ризику та підсумовуються" доповнити слова</w:t>
      </w:r>
      <w:r>
        <w:t>ми "за балансовою вартістю";</w:t>
      </w:r>
    </w:p>
    <w:p w:rsidR="00000000" w:rsidRDefault="00B3664D">
      <w:pPr>
        <w:pStyle w:val="a3"/>
        <w:jc w:val="both"/>
      </w:pPr>
      <w:r>
        <w:t>2) у підпункті "а":</w:t>
      </w:r>
    </w:p>
    <w:p w:rsidR="00000000" w:rsidRDefault="00B3664D">
      <w:pPr>
        <w:pStyle w:val="a3"/>
        <w:jc w:val="both"/>
      </w:pPr>
      <w:r>
        <w:t>доповнити підпункт після абзацу третього новим абзацом четвертим такого змісту:</w:t>
      </w:r>
    </w:p>
    <w:p w:rsidR="00000000" w:rsidRDefault="00B3664D">
      <w:pPr>
        <w:pStyle w:val="a3"/>
        <w:jc w:val="both"/>
      </w:pPr>
      <w:r>
        <w:t>"нараховані доходи за депозитами, що розміщені в банках, які мають кредитний рейтинг не нижче інвестиційного рівня за національ</w:t>
      </w:r>
      <w:r>
        <w:t>ною та/або міжнародною рейтинговою шкалою;".</w:t>
      </w:r>
    </w:p>
    <w:p w:rsidR="00000000" w:rsidRDefault="00B3664D">
      <w:pPr>
        <w:pStyle w:val="a3"/>
        <w:jc w:val="both"/>
      </w:pPr>
      <w:r>
        <w:t>У зв'язку з цим абзаци четвертий - тринадцятий вважати відповідно абзацами п'ятим - чотирнадцятим;</w:t>
      </w:r>
    </w:p>
    <w:p w:rsidR="00000000" w:rsidRDefault="00B3664D">
      <w:pPr>
        <w:pStyle w:val="a3"/>
        <w:jc w:val="both"/>
      </w:pPr>
      <w:r>
        <w:t>абзац п'ятий викласти в такій редакції:</w:t>
      </w:r>
    </w:p>
    <w:p w:rsidR="00000000" w:rsidRDefault="00B3664D">
      <w:pPr>
        <w:pStyle w:val="a3"/>
        <w:jc w:val="both"/>
      </w:pPr>
      <w:r>
        <w:t xml:space="preserve">"депозити, вклади на вимогу, що розміщені в банках, які мають кредитний </w:t>
      </w:r>
      <w:r>
        <w:t>рейтинг не нижче інвестиційного рівня за національною та/або міжнародною рейтинговою шкалою;";</w:t>
      </w:r>
    </w:p>
    <w:p w:rsidR="00000000" w:rsidRDefault="00B3664D">
      <w:pPr>
        <w:pStyle w:val="a3"/>
        <w:jc w:val="both"/>
      </w:pPr>
      <w:r>
        <w:t>абзац тринадцятий викласти в такій редакції:</w:t>
      </w:r>
    </w:p>
    <w:p w:rsidR="00000000" w:rsidRDefault="00B3664D">
      <w:pPr>
        <w:pStyle w:val="a3"/>
        <w:jc w:val="both"/>
      </w:pPr>
      <w:r>
        <w:t>"цінні папери, які перебувають у біржовому реєстрі хоча б однієї з фондових бірж;";</w:t>
      </w:r>
    </w:p>
    <w:p w:rsidR="00000000" w:rsidRDefault="00B3664D">
      <w:pPr>
        <w:pStyle w:val="a3"/>
        <w:jc w:val="both"/>
      </w:pPr>
      <w:r>
        <w:t>3) у підпункті "б":</w:t>
      </w:r>
    </w:p>
    <w:p w:rsidR="00000000" w:rsidRDefault="00B3664D">
      <w:pPr>
        <w:pStyle w:val="a3"/>
        <w:jc w:val="both"/>
      </w:pPr>
      <w:r>
        <w:lastRenderedPageBreak/>
        <w:t>абзаци други</w:t>
      </w:r>
      <w:r>
        <w:t>й - четвертий викласти в такій редакції:</w:t>
      </w:r>
    </w:p>
    <w:p w:rsidR="00000000" w:rsidRDefault="00B3664D">
      <w:pPr>
        <w:pStyle w:val="a3"/>
        <w:jc w:val="both"/>
      </w:pPr>
      <w:r>
        <w:t>"депозити, вклади на вимогу, що розміщені в банках, які мають кредитний рейтинг нижче інвестиційного рівня за національною та/або міжнародною рейтинговою шкалою, та депозити, що розміщені в банках, які не мають кред</w:t>
      </w:r>
      <w:r>
        <w:t>итного рейтингу;</w:t>
      </w:r>
    </w:p>
    <w:p w:rsidR="00000000" w:rsidRDefault="00B3664D">
      <w:pPr>
        <w:pStyle w:val="a3"/>
        <w:jc w:val="both"/>
      </w:pPr>
      <w:r>
        <w:t>нараховані доходи за депозитами, що розміщені в банках, які мають кредитний рейтинг нижче інвестиційного рівня за національною та/або міжнародною рейтинговою шкалою, та депозити, що розміщені в банках, які не мають кредитного рейтингу;</w:t>
      </w:r>
    </w:p>
    <w:p w:rsidR="00000000" w:rsidRDefault="00B3664D">
      <w:pPr>
        <w:pStyle w:val="a3"/>
        <w:jc w:val="both"/>
      </w:pPr>
      <w:r>
        <w:t>обл</w:t>
      </w:r>
      <w:r>
        <w:t>ігації місцевих позик (за винятком тих, які перебувають у біржовому реєстрі хоча б однієї з фондових бірж);";</w:t>
      </w:r>
    </w:p>
    <w:p w:rsidR="00000000" w:rsidRDefault="00B3664D">
      <w:pPr>
        <w:pStyle w:val="a3"/>
        <w:jc w:val="both"/>
      </w:pPr>
      <w:r>
        <w:t>абзац шостий викласти в такій редакції:</w:t>
      </w:r>
    </w:p>
    <w:p w:rsidR="00000000" w:rsidRDefault="00B3664D">
      <w:pPr>
        <w:pStyle w:val="a3"/>
        <w:jc w:val="both"/>
      </w:pPr>
      <w:r>
        <w:t>"цінні папери, які не перебувають у біржовому реєстрі хоча б однієї з фондових бірж;";</w:t>
      </w:r>
    </w:p>
    <w:p w:rsidR="00000000" w:rsidRDefault="00B3664D">
      <w:pPr>
        <w:pStyle w:val="a3"/>
        <w:jc w:val="both"/>
      </w:pPr>
      <w:r>
        <w:t>4) у підпункті "в":</w:t>
      </w:r>
    </w:p>
    <w:p w:rsidR="00000000" w:rsidRDefault="00B3664D">
      <w:pPr>
        <w:pStyle w:val="a3"/>
        <w:jc w:val="both"/>
      </w:pPr>
      <w:r>
        <w:t>абзац сьомий викласти в такій редакції:</w:t>
      </w:r>
    </w:p>
    <w:p w:rsidR="00000000" w:rsidRDefault="00B3664D">
      <w:pPr>
        <w:pStyle w:val="a3"/>
        <w:jc w:val="both"/>
      </w:pPr>
      <w:r>
        <w:t>"витрати майбутніх періодів;";</w:t>
      </w:r>
    </w:p>
    <w:p w:rsidR="00000000" w:rsidRDefault="00B3664D">
      <w:pPr>
        <w:pStyle w:val="a3"/>
        <w:jc w:val="both"/>
      </w:pPr>
      <w:r>
        <w:t>абзац восьмий виключити.</w:t>
      </w:r>
    </w:p>
    <w:p w:rsidR="00000000" w:rsidRDefault="00B3664D">
      <w:pPr>
        <w:pStyle w:val="a3"/>
        <w:jc w:val="both"/>
      </w:pPr>
      <w:r>
        <w:t>У зв'язку з цим абзаци дев'ятий - одинадцятий вважати відповідно абзацами восьмим - десятим.</w:t>
      </w:r>
    </w:p>
    <w:p w:rsidR="00000000" w:rsidRDefault="00B3664D">
      <w:pPr>
        <w:pStyle w:val="a3"/>
        <w:jc w:val="both"/>
      </w:pPr>
      <w:r>
        <w:t>5. У тексті Положення слова "норматив LR" у всіх відмінках замінит</w:t>
      </w:r>
      <w:r>
        <w:t>и словами "коефіцієнт левериджу" у відповідних відмінках.</w:t>
      </w:r>
    </w:p>
    <w:p w:rsidR="00000000" w:rsidRDefault="00B3664D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3"/>
        <w:gridCol w:w="4894"/>
      </w:tblGrid>
      <w:tr w:rsidR="00000000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000000" w:rsidRDefault="00B3664D">
            <w:pPr>
              <w:pStyle w:val="a3"/>
              <w:jc w:val="center"/>
            </w:pPr>
            <w:r>
              <w:rPr>
                <w:b/>
                <w:bCs/>
              </w:rPr>
              <w:t>Директор департаменту</w:t>
            </w:r>
            <w:r>
              <w:br/>
            </w:r>
            <w:r>
              <w:rPr>
                <w:b/>
                <w:bCs/>
              </w:rPr>
              <w:t>регулювання діяльності торговців</w:t>
            </w:r>
            <w:r>
              <w:br/>
            </w:r>
            <w:r>
              <w:rPr>
                <w:b/>
                <w:bCs/>
              </w:rPr>
              <w:t>цінними паперами та фондових бірж</w:t>
            </w:r>
          </w:p>
        </w:tc>
        <w:tc>
          <w:tcPr>
            <w:tcW w:w="2500" w:type="pct"/>
            <w:vAlign w:val="bottom"/>
            <w:hideMark/>
          </w:tcPr>
          <w:p w:rsidR="00000000" w:rsidRDefault="00B3664D">
            <w:pPr>
              <w:pStyle w:val="a3"/>
              <w:jc w:val="center"/>
            </w:pPr>
            <w:r>
              <w:rPr>
                <w:b/>
                <w:bCs/>
              </w:rPr>
              <w:t>І. Устенко</w:t>
            </w:r>
          </w:p>
        </w:tc>
      </w:tr>
    </w:tbl>
    <w:p w:rsidR="00000000" w:rsidRDefault="00B3664D">
      <w:pPr>
        <w:pStyle w:val="a3"/>
        <w:jc w:val="both"/>
      </w:pPr>
      <w:r>
        <w:br w:type="textWrapping" w:clear="all"/>
      </w:r>
    </w:p>
    <w:p w:rsidR="00000000" w:rsidRDefault="00B3664D">
      <w:pPr>
        <w:pStyle w:val="a3"/>
        <w:jc w:val="both"/>
      </w:pPr>
      <w: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4"/>
        <w:gridCol w:w="1185"/>
      </w:tblGrid>
      <w:tr w:rsidR="00000000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000000" w:rsidRDefault="00B366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© Інформаційно-аналітичний центр «ЛІГА», 1991 - 2013</w:t>
            </w:r>
            <w:r>
              <w:rPr>
                <w:rFonts w:eastAsia="Times New Roman"/>
              </w:rPr>
              <w:br/>
              <w:t>© ТОВ «ЛІГА:ЗАКОН», 2007 - 2013</w:t>
            </w:r>
          </w:p>
        </w:tc>
        <w:tc>
          <w:tcPr>
            <w:tcW w:w="500" w:type="pct"/>
            <w:vAlign w:val="center"/>
            <w:hideMark/>
          </w:tcPr>
          <w:p w:rsidR="00000000" w:rsidRDefault="00B3664D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95325" cy="314325"/>
                  <wp:effectExtent l="0" t="0" r="9525" b="9525"/>
                  <wp:docPr id="2" name="Рисунок 2" descr="C:\Users\e.lapshova\AppData\Roaming\Liga70\Client\Session\LOGOTYP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.lapshova\AppData\Roaming\Liga70\Client\Session\LOGOTYP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664D" w:rsidRDefault="00B3664D">
      <w:pPr>
        <w:rPr>
          <w:rFonts w:eastAsia="Times New Roman"/>
        </w:rPr>
      </w:pPr>
    </w:p>
    <w:sectPr w:rsidR="00B366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A41C4"/>
    <w:rsid w:val="007A41C4"/>
    <w:rsid w:val="00B3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A41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1C4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A41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1C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Users\e.lapshova\AppData\Roaming\Liga70\Client\Session\LOGOTYPE.BMP" TargetMode="External"/><Relationship Id="rId5" Type="http://schemas.openxmlformats.org/officeDocument/2006/relationships/image" Target="file:///C:\Users\e.lapshova\AppData\Roaming\Liga70\Client\Session\TSIGN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6690</Words>
  <Characters>3814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Лапшова Елена</dc:creator>
  <cp:lastModifiedBy>Лапшова Елена</cp:lastModifiedBy>
  <cp:revision>2</cp:revision>
  <dcterms:created xsi:type="dcterms:W3CDTF">2013-12-26T09:36:00Z</dcterms:created>
  <dcterms:modified xsi:type="dcterms:W3CDTF">2013-12-26T09:36:00Z</dcterms:modified>
</cp:coreProperties>
</file>