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65261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65261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ПРАВЛІННЯ НАЦІОНАЛЬНОГО БАНКУ УКРАЇНИ</w:t>
      </w:r>
    </w:p>
    <w:p w:rsidR="00000000" w:rsidRDefault="00D6526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ПОСТАНОВА</w:t>
      </w:r>
    </w:p>
    <w:p w:rsidR="00000000" w:rsidRDefault="00D65261">
      <w:pPr>
        <w:pStyle w:val="a3"/>
        <w:jc w:val="center"/>
      </w:pPr>
      <w:r>
        <w:rPr>
          <w:b/>
          <w:bCs/>
        </w:rPr>
        <w:t>від 14 жовтня 2013 року N 407</w:t>
      </w:r>
    </w:p>
    <w:p w:rsidR="00000000" w:rsidRDefault="00D6526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Змін до Технічного порядку проведення Національним банком України операцій з банками</w:t>
      </w:r>
    </w:p>
    <w:p w:rsidR="00000000" w:rsidRDefault="00D65261">
      <w:pPr>
        <w:pStyle w:val="a3"/>
        <w:jc w:val="both"/>
      </w:pPr>
      <w:r>
        <w:t xml:space="preserve">З метою ефективного використання інструментів регулювання ліквідності банків та у зв'язку з унесенням змін до Положення про регулювання Національним банком України ліквідності банків України, затвердженого </w:t>
      </w:r>
      <w:r>
        <w:rPr>
          <w:color w:val="0000FF"/>
        </w:rPr>
        <w:t>постановою Правління Національного банку України в</w:t>
      </w:r>
      <w:r>
        <w:rPr>
          <w:color w:val="0000FF"/>
        </w:rPr>
        <w:t>ід 30 квітня 2009 року N 259</w:t>
      </w:r>
      <w:r>
        <w:t xml:space="preserve">, зареєстрованого в Міністерстві юстиції України 06 травня 2009 року за N 410/16426 (зі змінами), Правління Національного банку України </w:t>
      </w:r>
      <w:r>
        <w:rPr>
          <w:b/>
          <w:bCs/>
        </w:rPr>
        <w:t>постановляє</w:t>
      </w:r>
      <w:r>
        <w:t>:</w:t>
      </w:r>
    </w:p>
    <w:p w:rsidR="00000000" w:rsidRDefault="00D65261">
      <w:pPr>
        <w:pStyle w:val="a3"/>
        <w:jc w:val="both"/>
      </w:pPr>
      <w:r>
        <w:t>1. Затвердити Зміни до Технічного порядку проведення Національним банком Україн</w:t>
      </w:r>
      <w:r>
        <w:t xml:space="preserve">и операцій з банками, затвердженого </w:t>
      </w:r>
      <w:r>
        <w:rPr>
          <w:color w:val="0000FF"/>
        </w:rPr>
        <w:t>постановою Правління Національного банку України від 30 квітня 2009 року N 260</w:t>
      </w:r>
      <w:r>
        <w:t xml:space="preserve"> (у редакції </w:t>
      </w:r>
      <w:r>
        <w:rPr>
          <w:color w:val="0000FF"/>
        </w:rPr>
        <w:t>постанови Правління Національного банку України від 22 червня 2012 року N 262</w:t>
      </w:r>
      <w:r>
        <w:t>), що додаються.</w:t>
      </w:r>
    </w:p>
    <w:p w:rsidR="00000000" w:rsidRDefault="00D65261">
      <w:pPr>
        <w:pStyle w:val="a3"/>
        <w:jc w:val="both"/>
      </w:pPr>
      <w:r>
        <w:t>2. Генеральному департаменту інформ</w:t>
      </w:r>
      <w:r>
        <w:t>аційних технологій та платіжних систем (Синявська Н. Б.) доопрацювати відповідне програмно-технологічне забезпечення, що супроводжує проведення операцій з регулювання ліквідності банків, у частині забезпечення:</w:t>
      </w:r>
    </w:p>
    <w:p w:rsidR="00000000" w:rsidRDefault="00D65261">
      <w:pPr>
        <w:pStyle w:val="a3"/>
        <w:jc w:val="both"/>
      </w:pPr>
      <w:r>
        <w:t>проведення операцій з регулювання ліквідності</w:t>
      </w:r>
      <w:r>
        <w:t xml:space="preserve"> банків за методом визначення базової кількості днів для нарахування процентів та пені - "факт/факт";</w:t>
      </w:r>
    </w:p>
    <w:p w:rsidR="00000000" w:rsidRDefault="00D65261">
      <w:pPr>
        <w:pStyle w:val="a3"/>
        <w:jc w:val="both"/>
      </w:pPr>
      <w:r>
        <w:t>здійснення грошових розрахунків за операціями з купівлі (продажу) державних облігацій України через ПАТ "РОЗРАХУНКОВИЙ ЦЕНТР З ОБСЛУГОВУВАННЯ ДОГОВОРІВ НА</w:t>
      </w:r>
      <w:r>
        <w:t xml:space="preserve"> ФІНАНСОВИХ РИНКАХ";</w:t>
      </w:r>
    </w:p>
    <w:p w:rsidR="00000000" w:rsidRDefault="00D65261">
      <w:pPr>
        <w:pStyle w:val="a3"/>
        <w:jc w:val="both"/>
      </w:pPr>
      <w:r>
        <w:t>автоматизації визначення справедливої вартості цінних паперів за операціями з регулювання ліквідності банків протягом двох місяців після затвердження розпорядчого документа Національного банку України щодо методики визначення справедли</w:t>
      </w:r>
      <w:r>
        <w:t>вої вартості застави (предмета операції) за операціями Національного банку України з регулювання ліквідності банків.</w:t>
      </w:r>
    </w:p>
    <w:p w:rsidR="00000000" w:rsidRDefault="00D65261">
      <w:pPr>
        <w:pStyle w:val="a3"/>
        <w:jc w:val="both"/>
      </w:pPr>
      <w:r>
        <w:t>3. Генеральному департаменту грошово-кредитної політики (Щербакова О. А.) довести зміст цієї постанови до відома територіальних управлінь Н</w:t>
      </w:r>
      <w:r>
        <w:t>аціонального банку України та банків України для використання в роботі.</w:t>
      </w:r>
    </w:p>
    <w:p w:rsidR="00000000" w:rsidRDefault="00D65261">
      <w:pPr>
        <w:pStyle w:val="a3"/>
        <w:jc w:val="both"/>
      </w:pPr>
      <w:r>
        <w:t>4. Контроль за виконанням цієї постанови покласти на першого заступника Голови Національного банку України Приходька Б. В.</w:t>
      </w:r>
    </w:p>
    <w:p w:rsidR="00000000" w:rsidRDefault="00D6526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0000" w:rsidRDefault="00D652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В. о. Голови</w:t>
            </w:r>
          </w:p>
        </w:tc>
        <w:tc>
          <w:tcPr>
            <w:tcW w:w="2500" w:type="pct"/>
            <w:vAlign w:val="bottom"/>
            <w:hideMark/>
          </w:tcPr>
          <w:p w:rsidR="00000000" w:rsidRDefault="00D65261">
            <w:pPr>
              <w:pStyle w:val="a3"/>
              <w:jc w:val="center"/>
            </w:pPr>
            <w:r>
              <w:rPr>
                <w:b/>
                <w:bCs/>
              </w:rPr>
              <w:t>Б. В. Приходько</w:t>
            </w:r>
          </w:p>
        </w:tc>
      </w:tr>
    </w:tbl>
    <w:p w:rsidR="00000000" w:rsidRDefault="00D65261">
      <w:pPr>
        <w:pStyle w:val="a3"/>
        <w:jc w:val="both"/>
      </w:pPr>
      <w:r>
        <w:br w:type="textWrapping" w:clear="all"/>
      </w:r>
    </w:p>
    <w:p w:rsidR="00000000" w:rsidRDefault="00D65261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000000">
        <w:trPr>
          <w:tblCellSpacing w:w="22" w:type="dxa"/>
        </w:trPr>
        <w:tc>
          <w:tcPr>
            <w:tcW w:w="5000" w:type="pct"/>
            <w:hideMark/>
          </w:tcPr>
          <w:p w:rsidR="00000000" w:rsidRDefault="00D65261">
            <w:pPr>
              <w:pStyle w:val="a3"/>
            </w:pPr>
            <w:r>
              <w:t>ЗАТВЕРДЖЕНО</w:t>
            </w:r>
            <w:r>
              <w:br/>
            </w:r>
            <w:r>
              <w:t>Постанова Правління Національного банку України</w:t>
            </w:r>
            <w:r>
              <w:br/>
              <w:t>14.10.2013 N 407</w:t>
            </w:r>
          </w:p>
        </w:tc>
      </w:tr>
    </w:tbl>
    <w:p w:rsidR="00000000" w:rsidRDefault="00D65261">
      <w:pPr>
        <w:pStyle w:val="a3"/>
        <w:jc w:val="both"/>
      </w:pPr>
      <w:r>
        <w:br w:type="textWrapping" w:clear="all"/>
      </w:r>
    </w:p>
    <w:p w:rsidR="00000000" w:rsidRDefault="00D65261">
      <w:pPr>
        <w:pStyle w:val="3"/>
        <w:jc w:val="center"/>
        <w:rPr>
          <w:rFonts w:eastAsia="Times New Roman"/>
          <w:color w:val="0000FF"/>
        </w:rPr>
      </w:pPr>
      <w:r>
        <w:rPr>
          <w:rFonts w:eastAsia="Times New Roman"/>
        </w:rPr>
        <w:t xml:space="preserve">Зміни до </w:t>
      </w:r>
      <w:r>
        <w:rPr>
          <w:rFonts w:eastAsia="Times New Roman"/>
          <w:color w:val="0000FF"/>
        </w:rPr>
        <w:t>Технічного порядку проведення Національним банком України операцій з банками</w:t>
      </w:r>
    </w:p>
    <w:p w:rsidR="00000000" w:rsidRDefault="00D65261">
      <w:pPr>
        <w:pStyle w:val="a3"/>
        <w:jc w:val="both"/>
      </w:pPr>
      <w:r>
        <w:t>1. У главі 1:</w:t>
      </w:r>
    </w:p>
    <w:p w:rsidR="00000000" w:rsidRDefault="00D65261">
      <w:pPr>
        <w:pStyle w:val="a3"/>
        <w:jc w:val="both"/>
      </w:pPr>
      <w:r>
        <w:t>1) пункт 1.5 викласти в такій редакції:</w:t>
      </w:r>
    </w:p>
    <w:p w:rsidR="00000000" w:rsidRDefault="00D65261">
      <w:pPr>
        <w:pStyle w:val="a3"/>
        <w:jc w:val="both"/>
      </w:pPr>
      <w:r>
        <w:t>"1.5. Операції з рефінансування банків під забезп</w:t>
      </w:r>
      <w:r>
        <w:t>ечення державними облігаціями України, облігаціями місцевих позик, операції прямого та зворотного репо з державними облігаціями України та операції з купівлі (продажу) державних облігацій України обслуговуються Національним банком, до виключної компетенції</w:t>
      </w:r>
      <w:r>
        <w:t xml:space="preserve"> якого відповідно до законодавства належить здійснення депозитарного обліку державних облігацій України та облігацій місцевих позик (далі - депозитарій державних цінних паперів Національного банку), у порядку, визначеному нормативно-правовими актами Націон</w:t>
      </w:r>
      <w:r>
        <w:t>ального банку з питань депозитарної та клірингової діяльності";</w:t>
      </w:r>
    </w:p>
    <w:p w:rsidR="00000000" w:rsidRDefault="00D65261">
      <w:pPr>
        <w:pStyle w:val="a3"/>
        <w:jc w:val="both"/>
      </w:pPr>
      <w:r>
        <w:t>2) пункти 1.8 - 1.10 замінити сімома новими пунктами такого змісту:</w:t>
      </w:r>
    </w:p>
    <w:p w:rsidR="00000000" w:rsidRDefault="00D65261">
      <w:pPr>
        <w:pStyle w:val="a3"/>
        <w:jc w:val="both"/>
      </w:pPr>
      <w:r>
        <w:t>"1.8. Територіальне управління в разі неповернення банком заборгованості за операціями з рефінансування та прямого репо та/а</w:t>
      </w:r>
      <w:r>
        <w:t xml:space="preserve">бо несплати процентів / процентного доходу за ними наступного робочого дня здійснює відповідно до вимог </w:t>
      </w:r>
      <w:r>
        <w:rPr>
          <w:color w:val="0000FF"/>
        </w:rPr>
        <w:t>статті 73 Закону України "Про Національний банк України"</w:t>
      </w:r>
      <w:r>
        <w:t xml:space="preserve"> списання в безспірному порядку заборгованості (основна сума боргу / ціна купівлі, проценти / пр</w:t>
      </w:r>
      <w:r>
        <w:t>оцентний дохід, пеня та витрати Національного банку щодо повернення заборгованості) з кореспондентського рахунку банку, а також надсилає за допомогою засобів електронної пошти Національного банку:</w:t>
      </w:r>
    </w:p>
    <w:p w:rsidR="00000000" w:rsidRDefault="00D65261">
      <w:pPr>
        <w:pStyle w:val="a3"/>
        <w:jc w:val="both"/>
      </w:pPr>
      <w:r>
        <w:t>іншим територіальним управлінням, у яких відкрито кореспонд</w:t>
      </w:r>
      <w:r>
        <w:t>ентські рахунки філій цього банку, - повідомлення для списання з кореспондентського рахунку філії відповідних сум у безспірному порядку;</w:t>
      </w:r>
    </w:p>
    <w:p w:rsidR="00000000" w:rsidRDefault="00D65261">
      <w:pPr>
        <w:pStyle w:val="a3"/>
        <w:jc w:val="both"/>
      </w:pPr>
      <w:r>
        <w:t xml:space="preserve">Операційному управлінню - повідомлення про списання коштів з кореспондентських рахунків банку та його філій (до відома </w:t>
      </w:r>
      <w:r>
        <w:t>та контролю за надходженням коштів);</w:t>
      </w:r>
    </w:p>
    <w:p w:rsidR="00000000" w:rsidRDefault="00D65261">
      <w:pPr>
        <w:pStyle w:val="a3"/>
        <w:jc w:val="both"/>
      </w:pPr>
      <w:r>
        <w:t>ДУВРЗОВР, Управлінню ризик-менеджменту - повідомлення про списання коштів з кореспондентських рахунків банку та його філій (до відома).</w:t>
      </w:r>
    </w:p>
    <w:p w:rsidR="00000000" w:rsidRDefault="00D65261">
      <w:pPr>
        <w:pStyle w:val="a3"/>
        <w:jc w:val="both"/>
      </w:pPr>
      <w:r>
        <w:t>1.9. Територіальне управління здійснює списання коштів з кореспондентського рахунку</w:t>
      </w:r>
      <w:r>
        <w:t xml:space="preserve"> банку та його філій, які працюють у СЕП за окремими кореспондентськими рахунками (далі - кореспондентський рахунок банку), відповідно до технології виконання засобами СЕП списання в безспірному порядку заборгованості банку перед Національним банком, </w:t>
      </w:r>
      <w:r>
        <w:lastRenderedPageBreak/>
        <w:t>основ</w:t>
      </w:r>
      <w:r>
        <w:t>аної на здійсненому рефінансуванні, з кореспондентського рахунку банку, визначеної в нормативно-правовому акті Національного банку з питань міжбанківського переказу коштів в Україні в національній валюті.</w:t>
      </w:r>
    </w:p>
    <w:p w:rsidR="00000000" w:rsidRDefault="00D65261">
      <w:pPr>
        <w:pStyle w:val="a3"/>
        <w:jc w:val="both"/>
      </w:pPr>
      <w:r>
        <w:t>1.10. Операційне управління в разі неповернення бан</w:t>
      </w:r>
      <w:r>
        <w:t>ком заборгованості за операціями з рефінансування та прямого репо та/або несплати процентів / процентного доходу здійснює:</w:t>
      </w:r>
    </w:p>
    <w:p w:rsidR="00000000" w:rsidRDefault="00D65261">
      <w:pPr>
        <w:pStyle w:val="a3"/>
        <w:jc w:val="both"/>
      </w:pPr>
      <w:r>
        <w:t>відображення такої заборгованості в перший робочий день, що настає за днем закінчення строку виконання зобов'язань згідно з умовами у</w:t>
      </w:r>
      <w:r>
        <w:t>кладених за цими операціями договорів, за рахунками з обліку простроченої заборгованості та/або прострочених нарахованих доходів;</w:t>
      </w:r>
    </w:p>
    <w:p w:rsidR="00000000" w:rsidRDefault="00D65261">
      <w:pPr>
        <w:pStyle w:val="a3"/>
        <w:jc w:val="both"/>
      </w:pPr>
      <w:r>
        <w:t>нарахування пені з наступного календарного дня, що настає за днем невиконання банком зобов'язань за укладеними договорами.</w:t>
      </w:r>
    </w:p>
    <w:p w:rsidR="00000000" w:rsidRDefault="00D65261">
      <w:pPr>
        <w:pStyle w:val="a3"/>
        <w:jc w:val="both"/>
      </w:pPr>
      <w:r>
        <w:t>Нар</w:t>
      </w:r>
      <w:r>
        <w:t>ахування пені припиняється з дати виконання простроченого зобов'язання / списання заборгованості в повному обсязі (дата також уключається до розрахунку заборгованості за пенею) або через шість місяців з дати, коли зобов'язання мало бути виконано.</w:t>
      </w:r>
    </w:p>
    <w:p w:rsidR="00000000" w:rsidRDefault="00D65261">
      <w:pPr>
        <w:pStyle w:val="a3"/>
        <w:jc w:val="both"/>
      </w:pPr>
      <w:r>
        <w:t>1.11. Тер</w:t>
      </w:r>
      <w:r>
        <w:t>иторіальне управління в разі неможливості списання в безспірному порядку всієї заборгованості за операціями з рефінансування та операціями прямого репо з кореспондентського рахунку банку через 10 робочих днів із дня виникнення простроченої заборгованості в</w:t>
      </w:r>
      <w:r>
        <w:t>живає заходів щодо задоволення вимог Національного банку відповідно до укладених договорів та вимог законодавства, у тому числі шляхом звернення стягнення, реалізації предмета застави (операції).</w:t>
      </w:r>
    </w:p>
    <w:p w:rsidR="00000000" w:rsidRDefault="00D65261">
      <w:pPr>
        <w:pStyle w:val="a3"/>
        <w:jc w:val="both"/>
      </w:pPr>
      <w:r>
        <w:t>Звернення стягнення на заставлене майно не виключає можливос</w:t>
      </w:r>
      <w:r>
        <w:t>ті безспірного списання коштів з кореспондентського рахунку банку в разі їх надходження до повного повернення заборгованості за кредитним договором.</w:t>
      </w:r>
    </w:p>
    <w:p w:rsidR="00000000" w:rsidRDefault="00D65261">
      <w:pPr>
        <w:pStyle w:val="a3"/>
        <w:jc w:val="both"/>
      </w:pPr>
      <w:r>
        <w:t>1.12. Рішення про погодження продажу предмета застави, який є забезпеченням за кредитом рефінансування та предметом операції прямого репо Національного банку, або переведення предмета застави (операції) у власність Національного банку приймає Правління Нац</w:t>
      </w:r>
      <w:r>
        <w:t>іонального банку за поданням Комітету з управління активами і пасивами Національного банку згідно з результатами розгляду пропозицій Генерального департаменту грошово-кредитної політики (Департаменту аналізу та прогнозування грошово-кредитної політики), ДУ</w:t>
      </w:r>
      <w:r>
        <w:t>ВРЗОВР на підставі висновку територіального управління.</w:t>
      </w:r>
    </w:p>
    <w:p w:rsidR="00000000" w:rsidRDefault="00D65261">
      <w:pPr>
        <w:pStyle w:val="a3"/>
        <w:jc w:val="both"/>
      </w:pPr>
      <w:r>
        <w:t>Переведення предмета застави (операції) у власність Національного банку здійснюється за справедливою вартістю, визначеною за станом на дату переходу до Національного банку прав на предмет застави (опе</w:t>
      </w:r>
      <w:r>
        <w:t>рації).</w:t>
      </w:r>
    </w:p>
    <w:p w:rsidR="00000000" w:rsidRDefault="00D65261">
      <w:pPr>
        <w:pStyle w:val="a3"/>
        <w:jc w:val="both"/>
      </w:pPr>
      <w:r>
        <w:t>1.13. Рішення про списання заборгованості за операціями з рефінансування та операціями прямого репо з окремого рахунку банку в Національному банку з обліку обов'язкових резервів приймає Правління Національного банку за поданням Генерального департа</w:t>
      </w:r>
      <w:r>
        <w:t>менту грошово-кредитної політики (Департаменту аналізу та прогнозування грошово-кредитної політики) з урахуванням висновку Генерального департаменту банківського нагляду щодо фінансового стану банку.</w:t>
      </w:r>
    </w:p>
    <w:p w:rsidR="00000000" w:rsidRDefault="00D65261">
      <w:pPr>
        <w:pStyle w:val="a3"/>
        <w:jc w:val="both"/>
      </w:pPr>
      <w:r>
        <w:t>У день прийняття Правлінням Національного банку відповід</w:t>
      </w:r>
      <w:r>
        <w:t>ного рішення постанова Правління Національного банку за допомогою засобів електронної пошти Національного банку надсилається територіальному управлінню для забезпечення виконання списання заборгованості банку, ДУВРЗОВР, Управлінню ризик-менеджменту, Операц</w:t>
      </w:r>
      <w:r>
        <w:t>ійному управлінню та банку.</w:t>
      </w:r>
    </w:p>
    <w:p w:rsidR="00000000" w:rsidRDefault="00D65261">
      <w:pPr>
        <w:pStyle w:val="a3"/>
        <w:jc w:val="both"/>
      </w:pPr>
      <w:r>
        <w:lastRenderedPageBreak/>
        <w:t>Територіальне управління на підставі отриманої постанови Правління Національного банку в той самий день здійснює списання заборгованості з окремого рахунку банку в Національному банку з обліку обов'язкових резервів та перерахову</w:t>
      </w:r>
      <w:r>
        <w:t>є ці кошти Операційному управлінню для погашення заборгованості за кредитними операціями (із зазначенням системного номера SAP-ERP).</w:t>
      </w:r>
    </w:p>
    <w:p w:rsidR="00000000" w:rsidRDefault="00D65261">
      <w:pPr>
        <w:pStyle w:val="a3"/>
        <w:jc w:val="both"/>
      </w:pPr>
      <w:r>
        <w:t>Територіальне управління, якщо дата списання заборгованості з окремого рахунку банку в Національному банку з обліку обов'яз</w:t>
      </w:r>
      <w:r>
        <w:t>кових резервів відрізняється від дати перерахування коштів Операційному управлінню, надсилає Операційному управлінню в день списання коштів повідомлення про дату і суму списання заборгованості.</w:t>
      </w:r>
    </w:p>
    <w:p w:rsidR="00000000" w:rsidRDefault="00D65261">
      <w:pPr>
        <w:pStyle w:val="a3"/>
        <w:jc w:val="both"/>
      </w:pPr>
      <w:r>
        <w:t>Операційне управління, якщо дата списання територіальним управ</w:t>
      </w:r>
      <w:r>
        <w:t>лінням заборгованості з окремого рахунку банку в Національному банку з обліку обов'язкових резервів відрізняється від дати перерахування коштів, здійснює коригування сум нарахованої пені на підставі отриманого повідомлення від територіального управління пр</w:t>
      </w:r>
      <w:r>
        <w:t>о дату і суму списання заборгованості.</w:t>
      </w:r>
    </w:p>
    <w:p w:rsidR="00000000" w:rsidRDefault="00D65261">
      <w:pPr>
        <w:pStyle w:val="a3"/>
        <w:jc w:val="both"/>
      </w:pPr>
      <w:r>
        <w:t xml:space="preserve">1.14. Територіальне управління в день списання заборгованості з окремого рахунку банку в Національному банку з обліку обов'язкових резервів надсилає повідомлення банку про застосування Національним банком переважного </w:t>
      </w:r>
      <w:r>
        <w:t>і безумовного права щодо списання в безспірному порядку заборгованості за кредитним договором для закриття заборгованості за кредитними операціями та зменшення суми коштів обов'язкових резервів, що резервуються в Національному банку".</w:t>
      </w:r>
    </w:p>
    <w:p w:rsidR="00000000" w:rsidRDefault="00D65261">
      <w:pPr>
        <w:pStyle w:val="a3"/>
        <w:jc w:val="both"/>
      </w:pPr>
      <w:r>
        <w:t>2. У главі 2:</w:t>
      </w:r>
    </w:p>
    <w:p w:rsidR="00000000" w:rsidRDefault="00D65261">
      <w:pPr>
        <w:pStyle w:val="a3"/>
        <w:jc w:val="both"/>
      </w:pPr>
      <w:r>
        <w:t>1) у пу</w:t>
      </w:r>
      <w:r>
        <w:t>нкті 2.15:</w:t>
      </w:r>
    </w:p>
    <w:p w:rsidR="00000000" w:rsidRDefault="00D65261">
      <w:pPr>
        <w:pStyle w:val="a3"/>
        <w:jc w:val="both"/>
      </w:pPr>
      <w:r>
        <w:t>абзац другий після слів "нормативно-правових актів" доповнити словами "та розпорядчих документів";</w:t>
      </w:r>
    </w:p>
    <w:p w:rsidR="00000000" w:rsidRDefault="00D65261">
      <w:pPr>
        <w:pStyle w:val="a3"/>
        <w:jc w:val="both"/>
      </w:pPr>
      <w:r>
        <w:t>в абзаці третьому цифри "1.8" замінити цифрами "1.10";</w:t>
      </w:r>
    </w:p>
    <w:p w:rsidR="00000000" w:rsidRDefault="00D65261">
      <w:pPr>
        <w:pStyle w:val="a3"/>
        <w:jc w:val="both"/>
      </w:pPr>
      <w:r>
        <w:t>2) пункт 2.16 після слів "нормативно-правових актів" доповнити словами "та розпорядчих доку</w:t>
      </w:r>
      <w:r>
        <w:t>ментів".</w:t>
      </w:r>
    </w:p>
    <w:p w:rsidR="00000000" w:rsidRDefault="00D65261">
      <w:pPr>
        <w:pStyle w:val="a3"/>
        <w:jc w:val="both"/>
      </w:pPr>
      <w:r>
        <w:t>3. У главі 3:</w:t>
      </w:r>
    </w:p>
    <w:p w:rsidR="00000000" w:rsidRDefault="00D65261">
      <w:pPr>
        <w:pStyle w:val="a3"/>
        <w:jc w:val="both"/>
      </w:pPr>
      <w:r>
        <w:t>1) у пункті 3.16:</w:t>
      </w:r>
    </w:p>
    <w:p w:rsidR="00000000" w:rsidRDefault="00D65261">
      <w:pPr>
        <w:pStyle w:val="a3"/>
        <w:jc w:val="both"/>
      </w:pPr>
      <w:r>
        <w:t>абзац другий після слів "у довірчій власності" доповнити словами "облігацій місцевих позик";</w:t>
      </w:r>
    </w:p>
    <w:p w:rsidR="00000000" w:rsidRDefault="00D65261">
      <w:pPr>
        <w:pStyle w:val="a3"/>
        <w:jc w:val="both"/>
      </w:pPr>
      <w:r>
        <w:t xml:space="preserve">в абзаці третьому слова "яка видана зберігачем, що обслуговує банк-позичальник, про їх блокування" замінити словами "щодо </w:t>
      </w:r>
      <w:r>
        <w:t>блокування цінних паперів";</w:t>
      </w:r>
    </w:p>
    <w:p w:rsidR="00000000" w:rsidRDefault="00D65261">
      <w:pPr>
        <w:pStyle w:val="a3"/>
        <w:jc w:val="both"/>
      </w:pPr>
      <w:r>
        <w:t>в абзаці четвертому слова "облігацій місцевих позик" та слова "від відповідних депозитаріїв" виключити;</w:t>
      </w:r>
    </w:p>
    <w:p w:rsidR="00000000" w:rsidRDefault="00D65261">
      <w:pPr>
        <w:pStyle w:val="a3"/>
        <w:jc w:val="both"/>
      </w:pPr>
      <w:r>
        <w:t>2) пункт 3.17 викласти в такій редакції:</w:t>
      </w:r>
    </w:p>
    <w:p w:rsidR="00000000" w:rsidRDefault="00D65261">
      <w:pPr>
        <w:pStyle w:val="a3"/>
        <w:jc w:val="both"/>
      </w:pPr>
      <w:r>
        <w:t>"3.17. Генеральний департамент грошово-кредитної політики (Відділ депозитарного обл</w:t>
      </w:r>
      <w:r>
        <w:t>іку державних цінних паперів) отримує та подає за допомогою відповідних засобів програмно-технологічного забезпечення до:</w:t>
      </w:r>
    </w:p>
    <w:p w:rsidR="00000000" w:rsidRDefault="00D65261">
      <w:pPr>
        <w:pStyle w:val="a3"/>
        <w:jc w:val="both"/>
      </w:pPr>
      <w:r>
        <w:lastRenderedPageBreak/>
        <w:t>ЦРП - розпорядження/повідомлення щодо блокування цінних паперів на рахунку в цінних паперах у депозитарії державних цінних паперів Нац</w:t>
      </w:r>
      <w:r>
        <w:t>іонального банку або в системі кількісного обліку СЕРТИФ;</w:t>
      </w:r>
    </w:p>
    <w:p w:rsidR="00000000" w:rsidRDefault="00D65261">
      <w:pPr>
        <w:pStyle w:val="a3"/>
        <w:jc w:val="both"/>
      </w:pPr>
      <w:r>
        <w:t>Центрального депозитарію України - відповідне розпорядження щодо блокування цінних паперів Державної іпотечної установи, іпотечних облігацій, облігацій підприємств на рахунку в цінних паперах у Цент</w:t>
      </w:r>
      <w:r>
        <w:t>ральному депозитарії України";</w:t>
      </w:r>
    </w:p>
    <w:p w:rsidR="00000000" w:rsidRDefault="00D65261">
      <w:pPr>
        <w:pStyle w:val="a3"/>
        <w:jc w:val="both"/>
      </w:pPr>
      <w:r>
        <w:t>3) пункти 3.23, 3.24 викласти в такій редакції:</w:t>
      </w:r>
    </w:p>
    <w:p w:rsidR="00000000" w:rsidRDefault="00D65261">
      <w:pPr>
        <w:pStyle w:val="a3"/>
        <w:jc w:val="both"/>
      </w:pPr>
      <w:r>
        <w:t>"3.23. ДУВРЗОВР надсилає за допомогою відповідних засобів програмно-технологічного забезпечення Генеральному департаменту грошово-кредитної політики (Відділу депозитарного облік</w:t>
      </w:r>
      <w:r>
        <w:t>у державних цінних паперів):</w:t>
      </w:r>
    </w:p>
    <w:p w:rsidR="00000000" w:rsidRDefault="00D65261">
      <w:pPr>
        <w:pStyle w:val="a3"/>
        <w:jc w:val="both"/>
      </w:pPr>
      <w:r>
        <w:t>щодо цінних паперів, облік яких здійснює депозитарій державних цінних паперів Національного банку, у день повернення банком-позичальником кредиту рефінансування, наданого під забезпечення цінних паперів, - розпорядження/повідом</w:t>
      </w:r>
      <w:r>
        <w:t>лення</w:t>
      </w:r>
      <w:r>
        <w:rPr>
          <w:b/>
          <w:bCs/>
        </w:rPr>
        <w:t xml:space="preserve"> </w:t>
      </w:r>
      <w:r>
        <w:t>щодо розблокування цінних паперів на рахунку в цінних паперах у депозитарії державних цінних паперів Національного банку або в системі кількісного обліку СЕРТИФ;</w:t>
      </w:r>
    </w:p>
    <w:p w:rsidR="00000000" w:rsidRDefault="00D65261">
      <w:pPr>
        <w:pStyle w:val="a3"/>
        <w:jc w:val="both"/>
      </w:pPr>
      <w:r>
        <w:t>щодо цінних паперів, облік яких здійснює Центральний депозитарій України, не пізніше нас</w:t>
      </w:r>
      <w:r>
        <w:t>тупного робочого дня за днем повернення коштів банком-позичальником на підставі повідомлення Операційного управління про виконання банком-позичальником усіх зобов'язань за кредитним договором, забезпеченням за яким є цінні папери, - розпорядження щодо розб</w:t>
      </w:r>
      <w:r>
        <w:t>локування цінних паперів у Центральному депозитарії України.</w:t>
      </w:r>
    </w:p>
    <w:p w:rsidR="00000000" w:rsidRDefault="00D65261">
      <w:pPr>
        <w:pStyle w:val="a3"/>
        <w:jc w:val="both"/>
      </w:pPr>
      <w:r>
        <w:t>3.24. Генеральний департамент грошово-кредитної політики (Відділ депозитарного обліку державних цінних паперів) отримує та подає за допомогою відповідних засобів програмно-технологічного забезпеч</w:t>
      </w:r>
      <w:r>
        <w:t>ення до:</w:t>
      </w:r>
    </w:p>
    <w:p w:rsidR="00000000" w:rsidRDefault="00D65261">
      <w:pPr>
        <w:pStyle w:val="a3"/>
        <w:jc w:val="both"/>
      </w:pPr>
      <w:r>
        <w:t>ЦРП - розпорядження/повідомлення щодо розблокування цінних паперів на рахунку в цінних паперах у депозитарії державних цінних паперів Національного банку або в системі кількісного обліку СЕРТИФ;</w:t>
      </w:r>
    </w:p>
    <w:p w:rsidR="00000000" w:rsidRDefault="00D65261">
      <w:pPr>
        <w:pStyle w:val="a3"/>
        <w:jc w:val="both"/>
      </w:pPr>
      <w:r>
        <w:t>Центрального депозитарію України - відповідне розпор</w:t>
      </w:r>
      <w:r>
        <w:t>ядження щодо розблокування цінних паперів на рахунку в цінних паперах у Центральному депозитарії України";</w:t>
      </w:r>
    </w:p>
    <w:p w:rsidR="00000000" w:rsidRDefault="00D65261">
      <w:pPr>
        <w:pStyle w:val="a3"/>
        <w:jc w:val="both"/>
      </w:pPr>
      <w:r>
        <w:t>4) у пункті 3.25:</w:t>
      </w:r>
    </w:p>
    <w:p w:rsidR="00000000" w:rsidRDefault="00D65261">
      <w:pPr>
        <w:pStyle w:val="a3"/>
        <w:jc w:val="both"/>
      </w:pPr>
      <w:r>
        <w:t>абзац другий після слів "нормативно-правових актів" доповнити словами "та розпорядчих документів";</w:t>
      </w:r>
    </w:p>
    <w:p w:rsidR="00000000" w:rsidRDefault="00D65261">
      <w:pPr>
        <w:pStyle w:val="a3"/>
        <w:jc w:val="both"/>
      </w:pPr>
      <w:r>
        <w:t>в абзаці третьому цифри "1.8" замінити цифрами "1.10";</w:t>
      </w:r>
    </w:p>
    <w:p w:rsidR="00000000" w:rsidRDefault="00D65261">
      <w:pPr>
        <w:pStyle w:val="a3"/>
        <w:jc w:val="both"/>
      </w:pPr>
      <w:r>
        <w:t>5) пункт 3.26 після слів "нормативно-правових актів" доповнити словами "та розпорядчих документів".</w:t>
      </w:r>
    </w:p>
    <w:p w:rsidR="00000000" w:rsidRDefault="00D65261">
      <w:pPr>
        <w:pStyle w:val="a3"/>
        <w:jc w:val="both"/>
      </w:pPr>
      <w:r>
        <w:t>4. У главі 4:</w:t>
      </w:r>
    </w:p>
    <w:p w:rsidR="00000000" w:rsidRDefault="00D65261">
      <w:pPr>
        <w:pStyle w:val="a3"/>
        <w:jc w:val="both"/>
      </w:pPr>
      <w:r>
        <w:t xml:space="preserve">1) в абзаці першому пункту 4.25 слово "розірвання" замінити словами "повернення коштів </w:t>
      </w:r>
      <w:r>
        <w:t>відповідно до умов";</w:t>
      </w:r>
    </w:p>
    <w:p w:rsidR="00000000" w:rsidRDefault="00D65261">
      <w:pPr>
        <w:pStyle w:val="a3"/>
        <w:jc w:val="both"/>
      </w:pPr>
      <w:r>
        <w:t>2) у пункті 4.26:</w:t>
      </w:r>
    </w:p>
    <w:p w:rsidR="00000000" w:rsidRDefault="00D65261">
      <w:pPr>
        <w:pStyle w:val="a3"/>
        <w:jc w:val="both"/>
      </w:pPr>
      <w:r>
        <w:lastRenderedPageBreak/>
        <w:t>абзаци другий, четвертий після слів "нормативно-правових актів" доповнити словами "та розпорядчих документів";</w:t>
      </w:r>
    </w:p>
    <w:p w:rsidR="00000000" w:rsidRDefault="00D65261">
      <w:pPr>
        <w:pStyle w:val="a3"/>
        <w:jc w:val="both"/>
      </w:pPr>
      <w:r>
        <w:t>в абзаці третьому цифри "1.8" замінити цифрами "1.10".</w:t>
      </w:r>
    </w:p>
    <w:p w:rsidR="00000000" w:rsidRDefault="00D65261">
      <w:pPr>
        <w:pStyle w:val="a3"/>
        <w:jc w:val="both"/>
      </w:pPr>
      <w:r>
        <w:t>5. Главу 6 викласти в такій редакції:</w:t>
      </w:r>
    </w:p>
    <w:p w:rsidR="00000000" w:rsidRDefault="00D65261">
      <w:pPr>
        <w:pStyle w:val="a3"/>
        <w:jc w:val="center"/>
      </w:pPr>
      <w:r>
        <w:t>"</w:t>
      </w:r>
      <w:r>
        <w:rPr>
          <w:b/>
          <w:bCs/>
        </w:rPr>
        <w:t>Глава 6. Пор</w:t>
      </w:r>
      <w:r>
        <w:rPr>
          <w:b/>
          <w:bCs/>
        </w:rPr>
        <w:t>ядок проведення операцій з купівлі (продажу) державних облігацій України</w:t>
      </w:r>
    </w:p>
    <w:p w:rsidR="00000000" w:rsidRDefault="00D65261">
      <w:pPr>
        <w:pStyle w:val="a3"/>
        <w:jc w:val="both"/>
      </w:pPr>
      <w:r>
        <w:t xml:space="preserve">1. Операції з купівлі (продажу) державних облігацій України проводяться на умовах, визначених </w:t>
      </w:r>
      <w:r>
        <w:rPr>
          <w:color w:val="0000FF"/>
        </w:rPr>
        <w:t>Положенням</w:t>
      </w:r>
      <w:r>
        <w:t>, відповідно до порядку, установленого цією главою, шляхом:</w:t>
      </w:r>
    </w:p>
    <w:p w:rsidR="00000000" w:rsidRDefault="00D65261">
      <w:pPr>
        <w:pStyle w:val="a3"/>
        <w:jc w:val="both"/>
      </w:pPr>
      <w:r>
        <w:t>участі в торгах дер</w:t>
      </w:r>
      <w:r>
        <w:t>жавними облігаціями України (у тому числі операції двостороннього котирування), які проводяться організаторами торгівлі цінними паперами (далі - організатори торгівлі), на підставі відповідних договорів, укладених з організаторами торгівлі згідно з установ</w:t>
      </w:r>
      <w:r>
        <w:t>леними ними правилами торгів;</w:t>
      </w:r>
    </w:p>
    <w:p w:rsidR="00000000" w:rsidRDefault="00D65261">
      <w:pPr>
        <w:pStyle w:val="a3"/>
        <w:jc w:val="both"/>
      </w:pPr>
      <w:r>
        <w:t>безпосередньої домовленості з банками щодо проведення операції з купівлі (продажу) державних облігацій України на позабіржовому ринку.</w:t>
      </w:r>
    </w:p>
    <w:p w:rsidR="00000000" w:rsidRDefault="00D65261">
      <w:pPr>
        <w:pStyle w:val="a3"/>
        <w:jc w:val="both"/>
      </w:pPr>
      <w:r>
        <w:t>2. Банк, який планує здійснити операції з купівлі (продажу) державних облігацій України, мо</w:t>
      </w:r>
      <w:r>
        <w:t>же взяти участь у торгах державними облігаціями України, які проводяться організаторами торгівлі, або звернутися за допомогою засобів електронної пошти до ДУВРЗОВР щодо проведення</w:t>
      </w:r>
      <w:r>
        <w:rPr>
          <w:b/>
          <w:bCs/>
        </w:rPr>
        <w:t xml:space="preserve"> </w:t>
      </w:r>
      <w:r>
        <w:t>цих операцій на позабіржовому ринку із зазначенням дати проведення, міжнарод</w:t>
      </w:r>
      <w:r>
        <w:t>ного ідентифікаційного коду державних облігацій України, їх кількості та дохідності (цінових умов).</w:t>
      </w:r>
    </w:p>
    <w:p w:rsidR="00000000" w:rsidRDefault="00D65261">
      <w:pPr>
        <w:pStyle w:val="a3"/>
        <w:jc w:val="both"/>
      </w:pPr>
      <w:r>
        <w:t>3. Генеральний департамент грошово-кредитної політики (Департамент аналізу та прогнозування грошово-кредитної політики) на підставі інформації Відділу депоз</w:t>
      </w:r>
      <w:r>
        <w:t>итарного обліку державних цінних паперів здійснює моніторинг обсягів операцій з державними облігаціями України, проведених організаторами торгівлі протягом шести останніх календарних місяців, та щомісяця не пізніше першого робочого дня після звітного місяц</w:t>
      </w:r>
      <w:r>
        <w:t>я доводить інформацію про результати здійсненого моніторингу до відома ДУВРЗОВР, з одночасним розміщенням цієї інформації на відповідній сторінці Офіційного інтернет-представництва Національного банку.</w:t>
      </w:r>
    </w:p>
    <w:p w:rsidR="00000000" w:rsidRDefault="00D65261">
      <w:pPr>
        <w:pStyle w:val="a3"/>
        <w:jc w:val="both"/>
      </w:pPr>
      <w:r>
        <w:t xml:space="preserve">4. Генеральний департамент грошово-кредитної політики </w:t>
      </w:r>
      <w:r>
        <w:t>(Департамент аналізу та прогнозування грошово-кредитної політики, Управління стратегії грошово-кредитної політики) з метою визначення участі Національного банку в торгах державними облігаціями України (у тому числі операції двостороннього котирування), які</w:t>
      </w:r>
      <w:r>
        <w:t xml:space="preserve"> проводяться організаторами торгівлі, на підставі аналізу стану грошово-кредитного ринку та прогнозу його розвитку надалі оцінює можливу потребу в регулюванні грошово-кредитного ринку шляхом проведення операцій із купівлі (продажу) державних облігацій Укра</w:t>
      </w:r>
      <w:r>
        <w:t>їни та готує пропозиції керівництву Національного банку щодо участі в торгах державними облігаціями України, які проводяться організаторами торгівлі.</w:t>
      </w:r>
    </w:p>
    <w:p w:rsidR="00000000" w:rsidRDefault="00D65261">
      <w:pPr>
        <w:pStyle w:val="a3"/>
        <w:jc w:val="both"/>
      </w:pPr>
      <w:r>
        <w:t>5. Генеральний департамент грошово-кредитної політики (Департамент аналізу та прогнозування грошово-кредит</w:t>
      </w:r>
      <w:r>
        <w:t xml:space="preserve">ної політики) після прийняття керівництвом Національного банку рішення щодо участі Національного банку в торгах державними облігаціями України (у тому числі операції двостороннього котирування), які проводяться організаторами торгівлі, повідомляє ДУВРЗОВР </w:t>
      </w:r>
      <w:r>
        <w:t>про прийняте рішення щодо подання заявок на купівлю (продаж) державних облігацій України в необхідних обсягах на торги державними облігаціями України, які проводяться організаторами торгівлі.</w:t>
      </w:r>
    </w:p>
    <w:p w:rsidR="00000000" w:rsidRDefault="00D65261">
      <w:pPr>
        <w:pStyle w:val="a3"/>
        <w:jc w:val="both"/>
      </w:pPr>
      <w:r>
        <w:lastRenderedPageBreak/>
        <w:t>6. ДУВРЗОВР на підставі аналізу портфеля державних облігацій Укр</w:t>
      </w:r>
      <w:r>
        <w:t>аїни, які перебувають у власності Національного банку, з урахуванням пропозиції державних облігацій України, що складається на торгах державними облігаціями України, які проводяться організаторами торгівлі, визначає перелік державних облігацій України, пар</w:t>
      </w:r>
      <w:r>
        <w:t>аметри яких оптимально задовольняють потреби регулювання грошово-кредитного ринку відповідно до зазначених у повідомленні Генерального департаменту грошово-кредитної політики (Департаменту аналізу та прогнозування грошово-кредитної політики) обсягів.</w:t>
      </w:r>
    </w:p>
    <w:p w:rsidR="00000000" w:rsidRDefault="00D65261">
      <w:pPr>
        <w:pStyle w:val="a3"/>
        <w:jc w:val="both"/>
      </w:pPr>
      <w:r>
        <w:t>7. ДУ</w:t>
      </w:r>
      <w:r>
        <w:t>ВРЗОВР погоджує з керівництвом Національного банку перелік та/або умови проведення операцій з купівлі (продажу) державних облігацій України та:</w:t>
      </w:r>
    </w:p>
    <w:p w:rsidR="00000000" w:rsidRDefault="00D65261">
      <w:pPr>
        <w:pStyle w:val="a3"/>
        <w:jc w:val="both"/>
      </w:pPr>
      <w:r>
        <w:t>надсилає Генеральному департаменту грошово-кредитної політики (Відділу депозитарного обліку державних цінних пап</w:t>
      </w:r>
      <w:r>
        <w:t>ерів) розпорядження на поставку державних облігацій України щодо блокування цінних паперів для продажу (у разі проведення операцій з продажу державних облігацій України);</w:t>
      </w:r>
    </w:p>
    <w:p w:rsidR="00000000" w:rsidRDefault="00D65261">
      <w:pPr>
        <w:pStyle w:val="a3"/>
        <w:jc w:val="both"/>
      </w:pPr>
      <w:r>
        <w:t>формує та подає на торги державними облігаціями України за допомогою засобів програмн</w:t>
      </w:r>
      <w:r>
        <w:t>о-технологічного забезпечення організатора торгівлі заявки на купівлю (продаж) державних облігацій України із зазначенням основних параметрів проведення цих операцій. Заявки подаються до організатора торгівлі, обсяги торгів державними облігаціями України я</w:t>
      </w:r>
      <w:r>
        <w:t>кого за результатами здійсненого Національним банком моніторингу є найбільшими протягом шести останніх календарних місяців (далі - визначений організатор торгівлі);</w:t>
      </w:r>
    </w:p>
    <w:p w:rsidR="00000000" w:rsidRDefault="00D65261">
      <w:pPr>
        <w:pStyle w:val="a3"/>
        <w:jc w:val="both"/>
      </w:pPr>
      <w:r>
        <w:t>подає ПАТ "РОЗРАХУНКОВИЙ ЦЕНТР З ОБСЛУГОВУВАННЯ ДОГОВОРІВ НА ФІНАНСОВИХ РИНКАХ" (далі - Роз</w:t>
      </w:r>
      <w:r>
        <w:t xml:space="preserve">рахунковий центр) за допомогою програмно-технологічного забезпечення клірингової системи Розрахункового центру інформацію, в якій зазначає обсяг державних облігацій України та визначеного організатора торгівлі, на торговельному майданчику якого планується </w:t>
      </w:r>
      <w:r>
        <w:t>укладання правочинів з купівлі (продажу) державних облігацій України;</w:t>
      </w:r>
    </w:p>
    <w:p w:rsidR="00000000" w:rsidRDefault="00D65261">
      <w:pPr>
        <w:pStyle w:val="a3"/>
        <w:jc w:val="both"/>
      </w:pPr>
      <w:r>
        <w:t>надає Операційному управлінню розпорядження з фінансових питань про проведення операцій з купівлі (продажу) державних облігацій України</w:t>
      </w:r>
      <w:r>
        <w:rPr>
          <w:b/>
          <w:bCs/>
        </w:rPr>
        <w:t xml:space="preserve"> </w:t>
      </w:r>
      <w:r>
        <w:t xml:space="preserve">для їх відображення в бухгалтерському обліку, яке </w:t>
      </w:r>
      <w:r>
        <w:t>сформоване на підставі отриманого за допомогою засобів програмно-технологічного забезпечення визначеного організатора торгівлі цінними паперами або електронної пошти Національного банку від визначеного організатора торгівлі документа, що засвідчує факт укл</w:t>
      </w:r>
      <w:r>
        <w:t>адення правочину з купівлі (продажу) державних облігацій України за результатами участі Національного банку в торгах державними облігаціями України, які проводяться визначеним організатором торгівлі.</w:t>
      </w:r>
    </w:p>
    <w:p w:rsidR="00000000" w:rsidRDefault="00D65261">
      <w:pPr>
        <w:pStyle w:val="a3"/>
        <w:jc w:val="both"/>
      </w:pPr>
      <w:r>
        <w:t>ДУВРЗОВР у разі проведення операцій двостороннього котир</w:t>
      </w:r>
      <w:r>
        <w:t>ування здійснює розрахунок ціни продажу та зворотної купівлі державних облігацій України.</w:t>
      </w:r>
    </w:p>
    <w:p w:rsidR="00000000" w:rsidRDefault="00D65261">
      <w:pPr>
        <w:pStyle w:val="a3"/>
        <w:jc w:val="both"/>
      </w:pPr>
      <w:r>
        <w:t>8. Генеральний департамент грошово-кредитної політики (Відділ депозитарного обліку державних цінних паперів) за допомогою засобів програмно-технологічного забезпеченн</w:t>
      </w:r>
      <w:r>
        <w:t>я подає до ЦРП отримане від ДУВРЗОВР розпорядження на поставку державних облігацій України щодо блокування цінних паперів для продажу (у разі проведення операцій з продажу державних облігацій України), на підставі якого ЦРП засобами програмно-технологічног</w:t>
      </w:r>
      <w:r>
        <w:t>о забезпечення здійснює блокування цих цінних паперів та з метою проведення розрахунків за результатами торгів державними облігаціями України надає інформацію про блокування цінних паперів до Розрахункового центру.</w:t>
      </w:r>
    </w:p>
    <w:p w:rsidR="00000000" w:rsidRDefault="00D65261">
      <w:pPr>
        <w:pStyle w:val="a3"/>
        <w:jc w:val="both"/>
      </w:pPr>
      <w:r>
        <w:t xml:space="preserve">9. ДУВРЗОВР у разі звернення банків щодо </w:t>
      </w:r>
      <w:r>
        <w:t xml:space="preserve">проведення операцій з купівлі (продажу) державних облігацій України на позабіржовому ринку узгоджує з Генеральним департаментом грошово-кредитної політики (Департаментом аналізу та прогнозування </w:t>
      </w:r>
      <w:r>
        <w:lastRenderedPageBreak/>
        <w:t>грошово-кредитної політики, Управлінням стратегії грошово-кре</w:t>
      </w:r>
      <w:r>
        <w:t>дитної політики) можливі обсяги й умови проведення цих операцій з урахуванням поточного стану грошово-кредитного ринку та готує пропозиції керівництву Національного банку про можливість проведення таких операцій.</w:t>
      </w:r>
    </w:p>
    <w:p w:rsidR="00000000" w:rsidRDefault="00D65261">
      <w:pPr>
        <w:pStyle w:val="a3"/>
        <w:jc w:val="both"/>
      </w:pPr>
      <w:r>
        <w:t>10. ДУВРЗОВР після прийняття керівництвом Н</w:t>
      </w:r>
      <w:r>
        <w:t xml:space="preserve">аціонального банку відповідного рішення щодо проведення операцій з купівлі (продажу) державних облігацій України на позабіржовому ринку за допомогою засобів електронної пошти надсилає повідомлення банкам, які подали заявки на проведення операцій з купівлі </w:t>
      </w:r>
      <w:r>
        <w:t>(продажу) державних облігацій України на позабіржовому ринку (у разі позитивного вирішення - із зазначенням умов їх проведення, у разі відмови - з обґрунтуванням причин).</w:t>
      </w:r>
    </w:p>
    <w:p w:rsidR="00000000" w:rsidRDefault="00D65261">
      <w:pPr>
        <w:pStyle w:val="a3"/>
        <w:jc w:val="both"/>
      </w:pPr>
      <w:r>
        <w:t>11. ДУВРЗОВР не пізніше наступного робочого дня після надсилання банку повідомлення про можливість проведення операції з купівлі (продажу) державних облігацій України забезпечує укладання договорів купівлі (продажу) державних облігацій України з відповідни</w:t>
      </w:r>
      <w:r>
        <w:t>ми банками (додаток 35)</w:t>
      </w:r>
      <w:r>
        <w:rPr>
          <w:b/>
          <w:bCs/>
        </w:rPr>
        <w:t xml:space="preserve"> </w:t>
      </w:r>
      <w:r>
        <w:t>та</w:t>
      </w:r>
      <w:r>
        <w:rPr>
          <w:b/>
          <w:bCs/>
        </w:rPr>
        <w:t xml:space="preserve"> </w:t>
      </w:r>
      <w:r>
        <w:t>надає:</w:t>
      </w:r>
    </w:p>
    <w:p w:rsidR="00000000" w:rsidRDefault="00D65261">
      <w:pPr>
        <w:pStyle w:val="a3"/>
        <w:jc w:val="both"/>
      </w:pPr>
      <w:r>
        <w:t>Генеральному департаменту грошово-кредитної політики (Відділу депозитарного обліку державних цінних паперів) - розпорядження на поставку державних облігацій України щодо блокування цінних паперів для продажу (у разі провед</w:t>
      </w:r>
      <w:r>
        <w:t>ення операцій з продажу державних облігацій України);</w:t>
      </w:r>
    </w:p>
    <w:p w:rsidR="00000000" w:rsidRDefault="00D65261">
      <w:pPr>
        <w:pStyle w:val="a3"/>
        <w:jc w:val="both"/>
      </w:pPr>
      <w:r>
        <w:t>Розрахунковому центру за допомогою засобів програмно-технологічного забезпечення клірингової системи Розрахункового центру - підтвердження щодо проведення операцій з купівлі (продажу) цінних паперів;</w:t>
      </w:r>
    </w:p>
    <w:p w:rsidR="00000000" w:rsidRDefault="00D65261">
      <w:pPr>
        <w:pStyle w:val="a3"/>
        <w:jc w:val="both"/>
      </w:pPr>
      <w:r>
        <w:t>Оп</w:t>
      </w:r>
      <w:r>
        <w:t>ераційному управлінню - розпорядження з фінансових питань про проведення операцій з купівлі (продажу) державних облігацій України</w:t>
      </w:r>
      <w:r>
        <w:rPr>
          <w:b/>
          <w:bCs/>
        </w:rPr>
        <w:t xml:space="preserve"> </w:t>
      </w:r>
      <w:r>
        <w:t>для їх відображення в бухгалтерському обліку.</w:t>
      </w:r>
    </w:p>
    <w:p w:rsidR="00000000" w:rsidRDefault="00D65261">
      <w:pPr>
        <w:pStyle w:val="a3"/>
        <w:jc w:val="both"/>
      </w:pPr>
      <w:r>
        <w:t>12. Депозитарій державних цінних паперів Національного банку за допомогою засобі</w:t>
      </w:r>
      <w:r>
        <w:t>в програмно-технологічного забезпечення здійснює розрахунки у цінних паперах щодо обслуговування операцій з купівлі (продажу) державних облігацій України після проведення грошових розрахунків на підставі:</w:t>
      </w:r>
    </w:p>
    <w:p w:rsidR="00000000" w:rsidRDefault="00D65261">
      <w:pPr>
        <w:pStyle w:val="a3"/>
        <w:jc w:val="both"/>
      </w:pPr>
      <w:r>
        <w:t>відповідного розпорядження, отриманого від Розрахун</w:t>
      </w:r>
      <w:r>
        <w:t>кового центру, що сформоване за інформацією визначеного організатора торгівлі про результати торгів державними облігаціями України;</w:t>
      </w:r>
    </w:p>
    <w:p w:rsidR="00000000" w:rsidRDefault="00D65261">
      <w:pPr>
        <w:pStyle w:val="a3"/>
        <w:jc w:val="both"/>
      </w:pPr>
      <w:r>
        <w:t>відповідного розпорядження, отриманого від Розрахункового центру, що сформоване за інформацією продавців та покупців операці</w:t>
      </w:r>
      <w:r>
        <w:t>й з купівлі (продажу) державних облігацій України, якщо договори були укладені на позабіржовому ринку.</w:t>
      </w:r>
    </w:p>
    <w:p w:rsidR="00000000" w:rsidRDefault="00D65261">
      <w:pPr>
        <w:pStyle w:val="a3"/>
        <w:jc w:val="both"/>
      </w:pPr>
      <w:r>
        <w:t>13. ДУВРЗОВР за допомогою засобів програмно-технологічного забезпечення клірингової системи Розрахункового центру отримує від Розрахункового центру відпо</w:t>
      </w:r>
      <w:r>
        <w:t>відні форми звітності щодо управління кліринговим рахунком у процесі проведення Національним банком операцій з купівлі (продажу) державних облігацій України.</w:t>
      </w:r>
    </w:p>
    <w:p w:rsidR="00000000" w:rsidRDefault="00D65261">
      <w:pPr>
        <w:pStyle w:val="a3"/>
        <w:jc w:val="both"/>
      </w:pPr>
      <w:r>
        <w:t>14. Операційне управління в установленому порядку забезпечує:</w:t>
      </w:r>
    </w:p>
    <w:p w:rsidR="00000000" w:rsidRDefault="00D65261">
      <w:pPr>
        <w:pStyle w:val="a3"/>
        <w:jc w:val="both"/>
      </w:pPr>
      <w:r>
        <w:t>платежі за операціями з купівлі (про</w:t>
      </w:r>
      <w:r>
        <w:t>дажу) державних облігацій України на підставі відповідних документів про необхідність перерахування коштів, сформованих та отриманих за допомогою засобів програмно-технологічного забезпечення системи інтернет-банкінгу Розрахункового центру;</w:t>
      </w:r>
    </w:p>
    <w:p w:rsidR="00000000" w:rsidRDefault="00D65261">
      <w:pPr>
        <w:pStyle w:val="a3"/>
        <w:jc w:val="both"/>
      </w:pPr>
      <w:r>
        <w:lastRenderedPageBreak/>
        <w:t xml:space="preserve">відображення в </w:t>
      </w:r>
      <w:r>
        <w:t>бухгалтерському обліку операцій із купівлі (продажу) державних облігацій України, їх погашення та отримання доходу за ними, нарахування процентних доходів</w:t>
      </w:r>
      <w:r>
        <w:rPr>
          <w:b/>
          <w:bCs/>
        </w:rPr>
        <w:t xml:space="preserve"> </w:t>
      </w:r>
      <w:r>
        <w:t>(у тому числі амортизацію дисконту/премії), комісійних доходів на підставі розпорядження з фінансових</w:t>
      </w:r>
      <w:r>
        <w:t xml:space="preserve"> питань про проведення операцій із купівлі (продажу) державних облігацій України ДУВРЗОВР,</w:t>
      </w:r>
      <w:r>
        <w:rPr>
          <w:b/>
          <w:bCs/>
        </w:rPr>
        <w:t xml:space="preserve"> </w:t>
      </w:r>
      <w:r>
        <w:t>а також нарахування</w:t>
      </w:r>
      <w:r>
        <w:rPr>
          <w:b/>
          <w:bCs/>
        </w:rPr>
        <w:t xml:space="preserve"> </w:t>
      </w:r>
      <w:r>
        <w:t>пені відповідно до нормативно-правових актів та розпорядчих документів Національного банку з бухгалтерського обліку операцій з фінансовими інвест</w:t>
      </w:r>
      <w:r>
        <w:t>иціями та цінними паперами власної емісії.</w:t>
      </w:r>
    </w:p>
    <w:p w:rsidR="00000000" w:rsidRDefault="00D65261">
      <w:pPr>
        <w:pStyle w:val="a3"/>
        <w:jc w:val="both"/>
      </w:pPr>
      <w:r>
        <w:t>Операційне управління несе відповідальність за нарахування процентних доходів</w:t>
      </w:r>
      <w:r>
        <w:rPr>
          <w:b/>
          <w:bCs/>
        </w:rPr>
        <w:t xml:space="preserve"> </w:t>
      </w:r>
      <w:r>
        <w:t xml:space="preserve">(у тому числі амортизацію дисконту/премії), комісійних доходів згідно з умовами про проведення операцій із купівлі (продажу) державних </w:t>
      </w:r>
      <w:r>
        <w:t xml:space="preserve">облігацій України, зазначеними в розпорядженні з фінансових питань ДУВРЗОВР, та пені відповідно до </w:t>
      </w:r>
      <w:r>
        <w:rPr>
          <w:color w:val="0000FF"/>
        </w:rPr>
        <w:t>пункту 1.3 розділу VI Положення</w:t>
      </w:r>
      <w:r>
        <w:t xml:space="preserve"> та пункту 1.10 глави 1 цього Технічного порядку.</w:t>
      </w:r>
    </w:p>
    <w:p w:rsidR="00000000" w:rsidRDefault="00D65261">
      <w:pPr>
        <w:pStyle w:val="a3"/>
        <w:jc w:val="both"/>
      </w:pPr>
      <w:r>
        <w:t>15. ДУВРЗОВР забезпечує введення інформації за результатами проведення опера</w:t>
      </w:r>
      <w:r>
        <w:t>цій з купівлі (продажу) державних облігацій України у відповідний програмно-технологічний комплекс".</w:t>
      </w:r>
    </w:p>
    <w:p w:rsidR="00000000" w:rsidRDefault="00D65261">
      <w:pPr>
        <w:pStyle w:val="a3"/>
        <w:jc w:val="both"/>
      </w:pPr>
      <w:r>
        <w:t>6. У реченні "Базова кількість днів для нарахування процентів/пені - 365" глави 1 додатків 1, 13 - 15, 25 - 27, 31, 36 - 38 цифри "365" замінити словами "ф</w:t>
      </w:r>
      <w:r>
        <w:t>актична кількість днів у місяці/році".</w:t>
      </w:r>
    </w:p>
    <w:p w:rsidR="00000000" w:rsidRDefault="00D65261">
      <w:pPr>
        <w:pStyle w:val="a3"/>
        <w:jc w:val="both"/>
      </w:pPr>
      <w:r>
        <w:t>7. У пункті 2.4 глави 2 додатка 27 слова "розірвати цей договір" замінити словами та цифрами "повернути кошти, отримані від Покупця відповідно до підпункту 2.1.1 пункту 2.1 цієї глави, і процентну плату".</w:t>
      </w:r>
    </w:p>
    <w:p w:rsidR="00000000" w:rsidRDefault="00D6526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000000" w:rsidRDefault="00D65261">
            <w:pPr>
              <w:pStyle w:val="a3"/>
              <w:jc w:val="center"/>
            </w:pPr>
            <w:r>
              <w:rPr>
                <w:b/>
                <w:bCs/>
              </w:rPr>
              <w:t>Директо</w:t>
            </w:r>
            <w:r>
              <w:rPr>
                <w:b/>
                <w:bCs/>
              </w:rPr>
              <w:t>р Генерального департаменту</w:t>
            </w:r>
            <w:r>
              <w:br/>
            </w:r>
            <w:r>
              <w:rPr>
                <w:b/>
                <w:bCs/>
              </w:rPr>
              <w:t>грошово-кредитної політики</w:t>
            </w:r>
          </w:p>
        </w:tc>
        <w:tc>
          <w:tcPr>
            <w:tcW w:w="2500" w:type="pct"/>
            <w:vAlign w:val="bottom"/>
            <w:hideMark/>
          </w:tcPr>
          <w:p w:rsidR="00000000" w:rsidRDefault="00D65261">
            <w:pPr>
              <w:pStyle w:val="a3"/>
              <w:jc w:val="center"/>
            </w:pPr>
            <w:r>
              <w:rPr>
                <w:b/>
                <w:bCs/>
              </w:rPr>
              <w:t>О. А. Щербакова</w:t>
            </w:r>
          </w:p>
        </w:tc>
      </w:tr>
    </w:tbl>
    <w:p w:rsidR="00000000" w:rsidRDefault="00D65261">
      <w:pPr>
        <w:pStyle w:val="a3"/>
        <w:jc w:val="both"/>
      </w:pPr>
      <w:r>
        <w:br w:type="textWrapping" w:clear="all"/>
      </w:r>
    </w:p>
    <w:p w:rsidR="00000000" w:rsidRDefault="00D65261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D652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D6526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5261" w:rsidRDefault="00D65261">
      <w:pPr>
        <w:rPr>
          <w:rFonts w:eastAsia="Times New Roman"/>
        </w:rPr>
      </w:pPr>
    </w:p>
    <w:sectPr w:rsidR="00D652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D1D09"/>
    <w:rsid w:val="00BD1D09"/>
    <w:rsid w:val="00D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1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0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1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D0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15396</Words>
  <Characters>8776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2013-10-18T08:47:00Z</dcterms:created>
  <dcterms:modified xsi:type="dcterms:W3CDTF">2013-10-18T08:47:00Z</dcterms:modified>
</cp:coreProperties>
</file>